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4F" w:rsidRDefault="001D2F4F">
      <w:pPr>
        <w:pStyle w:val="Heading1"/>
      </w:pPr>
      <w:r>
        <w:t>ДОКУМЕНТАЦИЯ ОТКРЫТОГО КОНКУРСА</w:t>
      </w:r>
    </w:p>
    <w:tbl>
      <w:tblPr>
        <w:tblW w:w="0" w:type="auto"/>
        <w:jc w:val="center"/>
        <w:tblCellMar>
          <w:top w:w="15" w:type="dxa"/>
          <w:left w:w="15" w:type="dxa"/>
          <w:bottom w:w="15" w:type="dxa"/>
          <w:right w:w="15" w:type="dxa"/>
        </w:tblCellMar>
        <w:tblLook w:val="00A0"/>
      </w:tblPr>
      <w:tblGrid>
        <w:gridCol w:w="1128"/>
        <w:gridCol w:w="11750"/>
      </w:tblGrid>
      <w:tr w:rsidR="001D2F4F" w:rsidRPr="0093033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СОДЕРЖАНИЕ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Информационная карта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2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Описание объекта закупки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3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подачи заявок на участие в открытом конкурсе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4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предоставления обеспечения заявок на участие в открытом конкурсе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5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предоставления обеспечения исполнения контракта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6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Обоснование начальной (максимальной) цены контракта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7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Изменение условий контракта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8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и срок отзыва заявок, порядок возврата заявок, порядок внесения изменений в заявки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9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рассмотрения заявок на участие в открытом конкурсе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10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Порядок и критерии оценки заявок участников закупки, показатели таких критериев и величины их значимостей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11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Требования к содержанию, к форме и составу заявки на участие в открытом конкурсе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12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Инструкция по заполнению заявки на участие в открытом конкурсе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13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Проект контракта </w:t>
            </w:r>
          </w:p>
        </w:tc>
      </w:tr>
      <w:tr w:rsidR="001D2F4F" w:rsidRPr="00930335">
        <w:trPr>
          <w:jc w:val="cent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Раздел 14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Рекомендованные образцы документов </w:t>
            </w:r>
          </w:p>
        </w:tc>
      </w:tr>
    </w:tbl>
    <w:p w:rsidR="001D2F4F" w:rsidRDefault="001D2F4F">
      <w:pPr>
        <w:pStyle w:val="NormalWeb"/>
      </w:pPr>
      <w:r>
        <w:t>Примечание:</w:t>
      </w:r>
    </w:p>
    <w:p w:rsidR="001D2F4F" w:rsidRDefault="001D2F4F">
      <w:pPr>
        <w:pStyle w:val="NormalWeb"/>
      </w:pPr>
      <w:r w:rsidRPr="00653348">
        <w:tab/>
      </w:r>
      <w:r>
        <w:t>1)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D2F4F" w:rsidRPr="00653348" w:rsidRDefault="001D2F4F" w:rsidP="007D6D16">
      <w:pPr>
        <w:autoSpaceDE w:val="0"/>
        <w:autoSpaceDN w:val="0"/>
        <w:adjustRightInd w:val="0"/>
        <w:ind w:left="540" w:firstLine="169"/>
        <w:jc w:val="both"/>
        <w:rPr>
          <w:noProof/>
          <w:color w:val="FF0000"/>
        </w:rPr>
      </w:pPr>
      <w:r>
        <w:t xml:space="preserve">2) </w:t>
      </w:r>
      <w:r>
        <w:rPr>
          <w:noProof/>
        </w:rPr>
        <w:t xml:space="preserve">Заказчик:Администрация Новоивановского сельского поселения Новопокровского района; 353024, Краснодарский край, Новопокровский район, ст.Новоивановская , ул. Школьная, 58а, тел:8 (86149) 38-2-47 эл.почта </w:t>
      </w:r>
      <w:r>
        <w:rPr>
          <w:noProof/>
          <w:lang w:val="en-US"/>
        </w:rPr>
        <w:t>novoivanovskay</w:t>
      </w:r>
      <w:r w:rsidRPr="00653348">
        <w:rPr>
          <w:noProof/>
        </w:rPr>
        <w:t>-1@</w:t>
      </w:r>
      <w:r>
        <w:rPr>
          <w:noProof/>
          <w:lang w:val="en-US"/>
        </w:rPr>
        <w:t>mail</w:t>
      </w:r>
      <w:r w:rsidRPr="00653348">
        <w:rPr>
          <w:noProof/>
        </w:rPr>
        <w:t>.</w:t>
      </w:r>
      <w:r>
        <w:rPr>
          <w:noProof/>
          <w:lang w:val="en-US"/>
        </w:rPr>
        <w:t>ru</w:t>
      </w:r>
    </w:p>
    <w:p w:rsidR="001D2F4F" w:rsidRDefault="001D2F4F">
      <w:pPr>
        <w:pStyle w:val="NormalWeb"/>
      </w:pPr>
    </w:p>
    <w:p w:rsidR="001D2F4F" w:rsidRDefault="001D2F4F">
      <w:pPr>
        <w:pStyle w:val="NormalWeb"/>
      </w:pPr>
      <w:r w:rsidRPr="00653348">
        <w:tab/>
      </w:r>
      <w:r>
        <w:t>3) Раздел 1 «Информационная карта» и Раздел 11 «Требования к содержанию, к форме и составу заявки на участие в открытом конкурсе» имеют единую нумерацию;</w:t>
      </w:r>
    </w:p>
    <w:tbl>
      <w:tblPr>
        <w:tblW w:w="0" w:type="auto"/>
        <w:tblCellMar>
          <w:top w:w="15" w:type="dxa"/>
          <w:left w:w="15" w:type="dxa"/>
          <w:bottom w:w="15" w:type="dxa"/>
          <w:right w:w="15" w:type="dxa"/>
        </w:tblCellMar>
        <w:tblLook w:val="00A0"/>
      </w:tblPr>
      <w:tblGrid>
        <w:gridCol w:w="1090"/>
        <w:gridCol w:w="6158"/>
        <w:gridCol w:w="7751"/>
      </w:tblGrid>
      <w:tr w:rsidR="001D2F4F" w:rsidRPr="00930335">
        <w:trPr>
          <w:tblHead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pPr>
              <w:jc w:val="center"/>
            </w:pPr>
            <w:r>
              <w:rPr>
                <w:rStyle w:val="Strong"/>
              </w:rPr>
              <w:t>№ позиции</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pPr>
              <w:jc w:val="center"/>
            </w:pPr>
            <w:r>
              <w:rPr>
                <w:rStyle w:val="Strong"/>
              </w:rPr>
              <w:t>РАЗДЕЛ 1 ИНФОРМАЦИОННАЯ КАРТА</w:t>
            </w:r>
          </w:p>
        </w:tc>
      </w:tr>
      <w:tr w:rsidR="001D2F4F" w:rsidRPr="00930335" w:rsidTr="00245A97">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sidP="007D6D16">
            <w:r>
              <w:t>Администрация Новоивановского сельского поселения Новопокровского района</w:t>
            </w:r>
          </w:p>
          <w:p w:rsidR="001D2F4F" w:rsidRDefault="001D2F4F" w:rsidP="007D6D16">
            <w:r>
              <w:t>Юридический адрес: 353024, Краснодарский край, ст.Новоивановская, Новопокровский район ул.Красная ,89</w:t>
            </w:r>
          </w:p>
          <w:p w:rsidR="001D2F4F" w:rsidRPr="00247E06" w:rsidRDefault="001D2F4F" w:rsidP="007D6D16">
            <w:pPr>
              <w:ind w:firstLine="2"/>
            </w:pPr>
            <w:r w:rsidRPr="00247E06">
              <w:t>ИНН     2344013900</w:t>
            </w:r>
          </w:p>
          <w:p w:rsidR="001D2F4F" w:rsidRPr="00247E06" w:rsidRDefault="001D2F4F" w:rsidP="007D6D16">
            <w:pPr>
              <w:ind w:firstLine="2"/>
            </w:pPr>
            <w:r w:rsidRPr="00247E06">
              <w:t>КПП     234401001</w:t>
            </w:r>
          </w:p>
          <w:p w:rsidR="001D2F4F" w:rsidRDefault="001D2F4F" w:rsidP="007D6D16">
            <w:r>
              <w:t>Номер контактного телефона: 8(86149)38-2-47</w:t>
            </w:r>
          </w:p>
          <w:p w:rsidR="001D2F4F" w:rsidRDefault="001D2F4F" w:rsidP="007D6D16">
            <w:r>
              <w:t xml:space="preserve">Адрес электронной почты: </w:t>
            </w:r>
            <w:r>
              <w:rPr>
                <w:lang w:val="en-US"/>
              </w:rPr>
              <w:t>novoivanovskay</w:t>
            </w:r>
            <w:r w:rsidRPr="00047454">
              <w:t>-1</w:t>
            </w:r>
            <w:r>
              <w:t>@</w:t>
            </w:r>
            <w:r>
              <w:rPr>
                <w:lang w:val="en-US"/>
              </w:rPr>
              <w:t>mail</w:t>
            </w:r>
            <w:r>
              <w:t>.ru</w:t>
            </w:r>
          </w:p>
          <w:p w:rsidR="001D2F4F" w:rsidRDefault="001D2F4F" w:rsidP="007D6D16">
            <w:r>
              <w:t>Ответственное должностное лицо: Абеленцев Василий Алексеевич</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Наименование объекта закупки (предмет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rsidP="001B6558">
            <w:pPr>
              <w:pStyle w:val="BodyText"/>
            </w:pPr>
            <w:r w:rsidRPr="001B6558">
              <w:t>Газопровод низкого давления в ст. Новоивановской</w:t>
            </w:r>
            <w:r>
              <w:t xml:space="preserve"> </w:t>
            </w:r>
            <w:r w:rsidRPr="001B6558">
              <w:t>Новопокровского района.  2-я очередь строительства</w:t>
            </w:r>
            <w:r>
              <w:t>.</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Описание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 соответствии с Разделом 2 «Описание объекта закупки»</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месте доставки товара, выполнения работ, оказания услуг</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7D6D16" w:rsidRDefault="001D2F4F">
            <w:pPr>
              <w:pStyle w:val="NormalWeb"/>
            </w:pPr>
            <w:r w:rsidRPr="00E25637">
              <w:t>353</w:t>
            </w:r>
            <w:r>
              <w:t>024</w:t>
            </w:r>
            <w:r w:rsidRPr="00E25637">
              <w:t xml:space="preserve">, Краснодарский край, </w:t>
            </w:r>
            <w:r>
              <w:t>Новопокровский район, ст.Новоивановская</w:t>
            </w:r>
            <w:r w:rsidRPr="007D6D16">
              <w:t xml:space="preserve">  </w:t>
            </w:r>
            <w:r>
              <w:t>ул.Школьная 58а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Срок поставки товара, завершения работ/график оказания услуг</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с момента заключения контракта </w:t>
            </w:r>
            <w:r>
              <w:t>в течение 22  дней</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Начальная (максимальная) цена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7D6D16">
              <w:t>1</w:t>
            </w:r>
            <w:r>
              <w:t xml:space="preserve"> </w:t>
            </w:r>
            <w:r w:rsidRPr="007D6D16">
              <w:t>572</w:t>
            </w:r>
            <w:r>
              <w:t xml:space="preserve"> </w:t>
            </w:r>
            <w:r w:rsidRPr="007D6D16">
              <w:t>940</w:t>
            </w:r>
            <w:r>
              <w:t>,00(</w:t>
            </w:r>
            <w:r w:rsidRPr="007D6D16">
              <w:t xml:space="preserve"> </w:t>
            </w:r>
            <w:r w:rsidRPr="007D6D16">
              <w:rPr>
                <w:sz w:val="22"/>
                <w:szCs w:val="22"/>
              </w:rPr>
              <w:t>Один миллион пятьсот семьдесят две тысячи девятьсот сорок</w:t>
            </w:r>
            <w:r>
              <w:rPr>
                <w:sz w:val="22"/>
                <w:szCs w:val="22"/>
              </w:rPr>
              <w:t>)</w:t>
            </w:r>
            <w:r w:rsidRPr="00930335">
              <w:t xml:space="preserve"> руб.</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Источник финансирования</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4F7519">
              <w:t>Местный бюджет</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Идентификационный код закупки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Pr>
                <w:rFonts w:ascii="Tahoma" w:hAnsi="Tahoma" w:cs="Tahoma"/>
                <w:sz w:val="21"/>
                <w:szCs w:val="21"/>
              </w:rPr>
              <w:t>183234401390023440100100050014110244</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Ограничение участия в определении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установлены</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Способ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Открытый конкурс</w:t>
            </w:r>
          </w:p>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Срок подачи заявок участников открытого конкурса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Начало срока подачи</w:t>
            </w:r>
            <w:r>
              <w:t xml:space="preserve"> заявок</w:t>
            </w:r>
            <w:r w:rsidRPr="00930335">
              <w:t xml:space="preserve">: </w:t>
            </w:r>
            <w:r>
              <w:t xml:space="preserve">Заказчик осуществляет  прием заявок на участие в конкурсе, доставляемых нарочным способом, по рабочим дням с понедельника по пятницу с 9.00 до 16.00 по местному времени в течение всего срока приема заявок на участие в конкурсе. Кроме обеденного перерыва с 12.00 до 13.00 </w:t>
            </w:r>
          </w:p>
          <w:p w:rsidR="001D2F4F" w:rsidRPr="00930335" w:rsidRDefault="001D2F4F" w:rsidP="009A49E5">
            <w:pPr>
              <w:pStyle w:val="NormalWeb"/>
            </w:pPr>
            <w:r w:rsidRPr="00930335">
              <w:t>Окончание срока подачи (дата и время):</w:t>
            </w:r>
            <w:r w:rsidRPr="003C1174">
              <w:rPr>
                <w:color w:val="FF0000"/>
              </w:rPr>
              <w:t xml:space="preserve"> </w:t>
            </w:r>
            <w:r>
              <w:t>16</w:t>
            </w:r>
            <w:r w:rsidRPr="00F844CC">
              <w:t>.11.2018г</w:t>
            </w:r>
            <w:r>
              <w:rPr>
                <w:color w:val="FF0000"/>
              </w:rPr>
              <w:t xml:space="preserve">    </w:t>
            </w:r>
            <w:r>
              <w:t>13.00</w:t>
            </w:r>
            <w:r w:rsidRPr="00D94D8F">
              <w:t xml:space="preserve"> </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Место подачи заявок участников открытого конкурса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E25637">
              <w:t>353</w:t>
            </w:r>
            <w:r>
              <w:t>024</w:t>
            </w:r>
            <w:r w:rsidRPr="00E25637">
              <w:t xml:space="preserve">, Краснодарский край, </w:t>
            </w:r>
            <w:r>
              <w:t>Новопокровский район, ст.Новоивановская</w:t>
            </w:r>
            <w:r w:rsidRPr="007D6D16">
              <w:t xml:space="preserve">  </w:t>
            </w:r>
            <w:r>
              <w:t>ул.Школьная 58а</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подачи заявок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3 «Порядок подачи заявок на участие в открытом конкурсе»</w:t>
            </w:r>
          </w:p>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Требование к обеспечению заявки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Установлено </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Размер обеспечения заявок на участие в открытом конкурсе, руб.</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C436CA" w:rsidRDefault="001D2F4F" w:rsidP="00653348">
            <w:pPr>
              <w:shd w:val="clear" w:color="auto" w:fill="FFFFFF"/>
              <w:snapToGrid w:val="0"/>
              <w:jc w:val="both"/>
            </w:pPr>
            <w:r w:rsidRPr="00C436CA">
              <w:t xml:space="preserve">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закупок  </w:t>
            </w:r>
          </w:p>
          <w:p w:rsidR="001D2F4F" w:rsidRPr="00C436CA" w:rsidRDefault="001D2F4F" w:rsidP="00653348">
            <w:pPr>
              <w:shd w:val="clear" w:color="auto" w:fill="FFFFFF"/>
              <w:snapToGrid w:val="0"/>
              <w:jc w:val="both"/>
            </w:pPr>
            <w:r w:rsidRPr="00C436CA">
              <w:t>Сумма обеспечения участия в конкурсе                 предусмотрена в следующем размере:</w:t>
            </w:r>
          </w:p>
          <w:p w:rsidR="001D2F4F" w:rsidRPr="00944D15" w:rsidRDefault="001D2F4F" w:rsidP="00653348">
            <w:pPr>
              <w:shd w:val="clear" w:color="auto" w:fill="FFFFFF"/>
              <w:snapToGrid w:val="0"/>
              <w:jc w:val="both"/>
            </w:pPr>
            <w:r w:rsidRPr="00944D15">
              <w:t xml:space="preserve">- </w:t>
            </w:r>
            <w:r>
              <w:rPr>
                <w:shd w:val="clear" w:color="auto" w:fill="FFFFFF"/>
              </w:rPr>
              <w:t>5</w:t>
            </w:r>
            <w:r w:rsidRPr="00944D15">
              <w:rPr>
                <w:shd w:val="clear" w:color="auto" w:fill="FFFFFF"/>
              </w:rPr>
              <w:t xml:space="preserve"> </w:t>
            </w:r>
            <w:r w:rsidRPr="00944D15">
              <w:rPr>
                <w:b/>
                <w:shd w:val="clear" w:color="auto" w:fill="FFFFFF"/>
              </w:rPr>
              <w:t>%</w:t>
            </w:r>
            <w:r w:rsidRPr="00944D15">
              <w:rPr>
                <w:shd w:val="clear" w:color="auto" w:fill="FFFFFF"/>
              </w:rPr>
              <w:t xml:space="preserve"> от начальной (максимальной) цены </w:t>
            </w:r>
            <w:r w:rsidRPr="00944D15">
              <w:rPr>
                <w:bCs/>
                <w:shd w:val="clear" w:color="auto" w:fill="FFFFFF"/>
              </w:rPr>
              <w:t>контракта</w:t>
            </w:r>
            <w:r w:rsidRPr="00944D15">
              <w:t xml:space="preserve"> – </w:t>
            </w:r>
          </w:p>
          <w:p w:rsidR="001D2F4F" w:rsidRPr="00445B31" w:rsidRDefault="001D2F4F" w:rsidP="00653348">
            <w:pPr>
              <w:shd w:val="clear" w:color="auto" w:fill="FFFFFF"/>
              <w:snapToGrid w:val="0"/>
              <w:spacing w:after="120"/>
              <w:jc w:val="both"/>
              <w:rPr>
                <w:b/>
              </w:rPr>
            </w:pPr>
            <w:r w:rsidRPr="00445B31">
              <w:rPr>
                <w:b/>
              </w:rPr>
              <w:t>78 647,0 (семьдесят восемь тысяч шестьсот сорок семь рублей).</w:t>
            </w:r>
          </w:p>
          <w:p w:rsidR="001D2F4F" w:rsidRPr="00445B31" w:rsidRDefault="001D2F4F" w:rsidP="00653348">
            <w:pPr>
              <w:shd w:val="clear" w:color="auto" w:fill="FFFFFF"/>
              <w:snapToGrid w:val="0"/>
              <w:spacing w:after="120"/>
              <w:jc w:val="both"/>
            </w:pPr>
            <w:r w:rsidRPr="00445B31">
              <w:t xml:space="preserve"> Срок внесения – до срока окончания приема заявок на участие  в конкурсе.</w:t>
            </w:r>
          </w:p>
          <w:p w:rsidR="001D2F4F" w:rsidRPr="00930335" w:rsidRDefault="001D2F4F" w:rsidP="00653348">
            <w:pPr>
              <w:pStyle w:val="NormalWeb"/>
            </w:pP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Реквизиты счета для внесения денежных средств в качестве обеспечения заявок участников такого конкурса</w:t>
            </w:r>
          </w:p>
          <w:p w:rsidR="001D2F4F" w:rsidRPr="00930335" w:rsidRDefault="001D2F4F">
            <w:pPr>
              <w:pStyle w:val="NormalWeb"/>
            </w:pPr>
            <w:r w:rsidRPr="00930335">
              <w:t>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sidP="006C13DE">
            <w:pPr>
              <w:rPr>
                <w:szCs w:val="28"/>
              </w:rPr>
            </w:pPr>
            <w:r>
              <w:rPr>
                <w:szCs w:val="28"/>
              </w:rPr>
              <w:t xml:space="preserve">УФК по Краснодарскому краю (Администрация Новоивановского сельского поселения Новопокровского района) л/с 05183013790 </w:t>
            </w:r>
            <w:r w:rsidRPr="00B7303C">
              <w:rPr>
                <w:bCs/>
              </w:rPr>
              <w:t>Банк получателя:</w:t>
            </w:r>
            <w:r>
              <w:rPr>
                <w:bCs/>
              </w:rPr>
              <w:t xml:space="preserve"> </w:t>
            </w:r>
            <w:r>
              <w:rPr>
                <w:szCs w:val="28"/>
              </w:rPr>
              <w:t>Южное ГУ Банка России г.Краснодар</w:t>
            </w:r>
          </w:p>
          <w:p w:rsidR="001D2F4F" w:rsidRDefault="001D2F4F" w:rsidP="006C13DE">
            <w:pPr>
              <w:rPr>
                <w:szCs w:val="28"/>
              </w:rPr>
            </w:pPr>
            <w:r>
              <w:rPr>
                <w:szCs w:val="28"/>
              </w:rPr>
              <w:t>ИНН     2344013900</w:t>
            </w:r>
          </w:p>
          <w:p w:rsidR="001D2F4F" w:rsidRDefault="001D2F4F" w:rsidP="006C13DE">
            <w:pPr>
              <w:rPr>
                <w:szCs w:val="28"/>
              </w:rPr>
            </w:pPr>
            <w:r>
              <w:rPr>
                <w:szCs w:val="28"/>
              </w:rPr>
              <w:t>КПП     234401001</w:t>
            </w:r>
          </w:p>
          <w:p w:rsidR="001D2F4F" w:rsidRDefault="001D2F4F" w:rsidP="006C13DE">
            <w:pPr>
              <w:rPr>
                <w:szCs w:val="28"/>
              </w:rPr>
            </w:pPr>
            <w:r>
              <w:rPr>
                <w:szCs w:val="28"/>
              </w:rPr>
              <w:t>БИК      040349001</w:t>
            </w:r>
          </w:p>
          <w:p w:rsidR="001D2F4F" w:rsidRPr="006C13DE" w:rsidRDefault="001D2F4F" w:rsidP="006C13DE">
            <w:pPr>
              <w:rPr>
                <w:szCs w:val="28"/>
              </w:rPr>
            </w:pPr>
            <w:r>
              <w:t>р/с         40302810000003000051</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внесения денежных средств в качестве обеспечения заявок на участие в открытом конкурсе</w:t>
            </w:r>
          </w:p>
        </w:tc>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4 «Порядок предоставления обеспечения заявок на участие в открытом конкурсе»</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Условия банковской гарантии, предоставляемой в качестве обеспечения заявок на участие в открытом конкурсе, срок ее действия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Требование к обеспечению исполнения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Установлено </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Размер обеспечения исполнения контракта, руб.</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445B31" w:rsidRDefault="001D2F4F">
            <w:pPr>
              <w:pStyle w:val="NormalWeb"/>
              <w:rPr>
                <w:bCs/>
                <w:shd w:val="clear" w:color="auto" w:fill="FFFFFF"/>
              </w:rPr>
            </w:pPr>
            <w:r w:rsidRPr="00445B31">
              <w:t xml:space="preserve">- </w:t>
            </w:r>
            <w:r w:rsidRPr="00445B31">
              <w:rPr>
                <w:shd w:val="clear" w:color="auto" w:fill="FFFFFF"/>
              </w:rPr>
              <w:t xml:space="preserve">30 </w:t>
            </w:r>
            <w:r w:rsidRPr="00445B31">
              <w:rPr>
                <w:b/>
                <w:shd w:val="clear" w:color="auto" w:fill="FFFFFF"/>
              </w:rPr>
              <w:t>%</w:t>
            </w:r>
            <w:r w:rsidRPr="00445B31">
              <w:rPr>
                <w:shd w:val="clear" w:color="auto" w:fill="FFFFFF"/>
              </w:rPr>
              <w:t xml:space="preserve"> от начальной (максимальной) цены </w:t>
            </w:r>
            <w:r w:rsidRPr="00445B31">
              <w:rPr>
                <w:bCs/>
                <w:shd w:val="clear" w:color="auto" w:fill="FFFFFF"/>
              </w:rPr>
              <w:t>контракта</w:t>
            </w:r>
          </w:p>
          <w:p w:rsidR="001D2F4F" w:rsidRPr="00D93BEF" w:rsidRDefault="001D2F4F">
            <w:pPr>
              <w:pStyle w:val="NormalWeb"/>
              <w:rPr>
                <w:b/>
              </w:rPr>
            </w:pPr>
            <w:r w:rsidRPr="00445B31">
              <w:rPr>
                <w:b/>
                <w:bCs/>
                <w:shd w:val="clear" w:color="auto" w:fill="FFFFFF"/>
              </w:rPr>
              <w:t>471 882,0 (четыреста семьдесят одна тысяча восемьсот восемьдесят два рубля)</w:t>
            </w:r>
          </w:p>
          <w:p w:rsidR="001D2F4F" w:rsidRPr="00930335" w:rsidRDefault="001D2F4F">
            <w:pPr>
              <w:pStyle w:val="NormalWeb"/>
            </w:pPr>
            <w:r w:rsidRPr="00930335">
              <w:t>В случае, если предложенная в заявке участника открытого конкурса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предоставления обеспечения исполнения контракта, требования к такому обеспечению, условия обеспечения исполнения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5 «Порядок предоставления обеспечения исполнения контракта»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14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банковском сопровождении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Банковское сопровождение контракта не предусмотрено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rsidP="00245A97">
            <w:pPr>
              <w:pStyle w:val="NormalWeb"/>
            </w:pPr>
            <w:r w:rsidRPr="00930335">
              <w:t xml:space="preserve">1) Требования в соответствии с пунктом 1 части 1 Статьи 31 ФЗ-44 к лицам, осуществляющим поставку товаров, являющихся объектом закупки: наличие членства в саморегулируемой организации в области архитектурно-строительного проектирования, за исключением лиц, указанных в части 4.1 статьи 48 Градостроительного кодекса РФ </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Установлено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Способы получения конкурсной документации, срок, место и порядок предоставления конкурсной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Конкурсная документация размещена в единой информационной системе </w:t>
            </w:r>
            <w:r w:rsidRPr="00930335">
              <w:rPr>
                <w:rStyle w:val="Emphasis"/>
              </w:rPr>
              <w:t>zakupki.gov.ru</w:t>
            </w:r>
            <w:r w:rsidRPr="00930335">
              <w:t xml:space="preserve"> в открытом доступе.</w:t>
            </w:r>
          </w:p>
          <w:p w:rsidR="001D2F4F" w:rsidRPr="00930335" w:rsidRDefault="001D2F4F" w:rsidP="004B6873">
            <w:pPr>
              <w:pStyle w:val="NormalWeb"/>
              <w:jc w:val="both"/>
            </w:pPr>
            <w:r w:rsidRPr="00930335">
              <w:t>На основании поданного в письменной форме заявления любого заинтересованного лица предоставляется после даты размещения извещения о проведении открытого конкурса в течение двух рабочих дней с даты получения соответствующего заявления на электронный адрес, указанный в заявлении, без взимания платы, а также на электронный носитель заявителя по адресу фактического нахождения</w:t>
            </w:r>
            <w:r>
              <w:t>:</w:t>
            </w:r>
            <w:r w:rsidRPr="00930335">
              <w:t xml:space="preserve"> </w:t>
            </w:r>
            <w:r>
              <w:t xml:space="preserve">353024, Краснодарский край, ст.Новоивановская, Новопокровский район ул.Школьная 58а </w:t>
            </w:r>
            <w:r w:rsidRPr="00564E51">
              <w:t>кабинет №3</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Плата, взимаемая за предоставление документации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предусмотрена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19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Язык или языки, на которых предоставляется конкурсная документация</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Русский</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Место, дата и время вскрытия конвертов с заявками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840876" w:rsidRDefault="001D2F4F" w:rsidP="00564E51">
            <w:pPr>
              <w:keepNext/>
              <w:keepLines/>
              <w:widowControl w:val="0"/>
              <w:suppressLineNumbers/>
              <w:shd w:val="clear" w:color="auto" w:fill="FFFFFF"/>
              <w:jc w:val="both"/>
            </w:pPr>
            <w:r w:rsidRPr="00840876">
              <w:t>Вскрытие конвертов с заявками на участие в конкурсе состоится:</w:t>
            </w:r>
          </w:p>
          <w:p w:rsidR="001D2F4F" w:rsidRDefault="001D2F4F" w:rsidP="00564E51">
            <w:pPr>
              <w:keepNext/>
              <w:keepLines/>
              <w:widowControl w:val="0"/>
              <w:suppressLineNumbers/>
              <w:shd w:val="clear" w:color="auto" w:fill="FFFFFF"/>
              <w:jc w:val="both"/>
              <w:rPr>
                <w:shd w:val="clear" w:color="auto" w:fill="FFFFFF"/>
              </w:rPr>
            </w:pPr>
            <w:r>
              <w:t>353024 Краснодарский край, ст.Новоивановская, Новопокровский район ул.Школьная 58а кабинет №3</w:t>
            </w:r>
            <w:r w:rsidRPr="00103B19">
              <w:rPr>
                <w:shd w:val="clear" w:color="auto" w:fill="FFFFFF"/>
              </w:rPr>
              <w:t xml:space="preserve"> </w:t>
            </w:r>
          </w:p>
          <w:p w:rsidR="001D2F4F" w:rsidRPr="00103B19" w:rsidRDefault="001D2F4F" w:rsidP="00564E51">
            <w:pPr>
              <w:keepNext/>
              <w:keepLines/>
              <w:widowControl w:val="0"/>
              <w:suppressLineNumbers/>
              <w:shd w:val="clear" w:color="auto" w:fill="FFFFFF"/>
              <w:jc w:val="both"/>
            </w:pPr>
            <w:r w:rsidRPr="00445B31">
              <w:rPr>
                <w:shd w:val="clear" w:color="auto" w:fill="FFFFFF"/>
              </w:rPr>
              <w:t xml:space="preserve">в </w:t>
            </w:r>
            <w:r w:rsidRPr="00445B31">
              <w:rPr>
                <w:b/>
                <w:shd w:val="clear" w:color="auto" w:fill="FFFFFF"/>
              </w:rPr>
              <w:t>13:00</w:t>
            </w:r>
            <w:r w:rsidRPr="00445B31">
              <w:t xml:space="preserve"> часов по московскому времени </w:t>
            </w:r>
            <w:r w:rsidRPr="00445B31">
              <w:br/>
            </w:r>
            <w:r w:rsidRPr="00445B31">
              <w:rPr>
                <w:b/>
                <w:shd w:val="clear" w:color="auto" w:fill="FFFFFF"/>
              </w:rPr>
              <w:t>«16»  ноября  2018 года</w:t>
            </w:r>
            <w:r w:rsidRPr="00103B19">
              <w:t xml:space="preserve"> </w:t>
            </w:r>
          </w:p>
          <w:p w:rsidR="001D2F4F" w:rsidRPr="00930335" w:rsidRDefault="001D2F4F" w:rsidP="00564E51">
            <w:pPr>
              <w:pStyle w:val="NormalWeb"/>
            </w:pP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Дата рассмотрения и оценки заявок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sidP="00564E51">
            <w:pPr>
              <w:keepNext/>
              <w:keepLines/>
              <w:widowControl w:val="0"/>
              <w:suppressLineNumbers/>
              <w:shd w:val="clear" w:color="auto" w:fill="FFFFFF"/>
              <w:jc w:val="both"/>
            </w:pPr>
            <w:r w:rsidRPr="00F875AB">
              <w:t xml:space="preserve">Рассмотрение и оценка заявок на участие в конкурсе будет осуществляться по адресу: </w:t>
            </w:r>
          </w:p>
          <w:p w:rsidR="001D2F4F" w:rsidRDefault="001D2F4F" w:rsidP="00564E51">
            <w:pPr>
              <w:keepNext/>
              <w:keepLines/>
              <w:widowControl w:val="0"/>
              <w:suppressLineNumbers/>
              <w:shd w:val="clear" w:color="auto" w:fill="FFFFFF"/>
              <w:jc w:val="both"/>
              <w:rPr>
                <w:shd w:val="clear" w:color="auto" w:fill="FFFFFF"/>
              </w:rPr>
            </w:pPr>
            <w:r>
              <w:t>353024 Краснодарский край, ст.Новоивановская, Новопокровский район ул.Школьная 58а кабинет №3</w:t>
            </w:r>
            <w:r w:rsidRPr="00103B19">
              <w:rPr>
                <w:shd w:val="clear" w:color="auto" w:fill="FFFFFF"/>
              </w:rPr>
              <w:t xml:space="preserve"> </w:t>
            </w:r>
          </w:p>
          <w:p w:rsidR="001D2F4F" w:rsidRPr="00F875AB" w:rsidRDefault="001D2F4F" w:rsidP="00564E51">
            <w:pPr>
              <w:shd w:val="clear" w:color="auto" w:fill="FFFFFF"/>
              <w:snapToGrid w:val="0"/>
              <w:jc w:val="both"/>
            </w:pPr>
          </w:p>
          <w:p w:rsidR="001D2F4F" w:rsidRPr="00930335" w:rsidRDefault="001D2F4F" w:rsidP="00564E51">
            <w:pPr>
              <w:pStyle w:val="NormalWeb"/>
            </w:pPr>
            <w:r w:rsidRPr="00445B31">
              <w:rPr>
                <w:b/>
                <w:shd w:val="clear" w:color="auto" w:fill="FFFFFF"/>
              </w:rPr>
              <w:t>«19» ноября 2018 года</w:t>
            </w:r>
            <w:r w:rsidRPr="00445B31">
              <w:t>.</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Преимущества, предоставляемые учреждениям и предприятиям уголовно-исполнительной системы</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предоставляются</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предоставляются</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44-ФЗ</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со статьей 14 44-ФЗ</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установлены</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Обоснование начальной (максимальной) цены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6 «Обоснование начальной (максимальной) цены контракта»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валюте, используемой для формирования цены контракта и расчетов с поставщиками (исполнителями подрядчиками)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рубль РФ</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29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 случае если поз. 28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возможности заказчика изменить условия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7 «Изменение условий контракта»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и срок отзыва заявок на участие в открытом конкурсе, порядок возврата заявок на участие в открытом конкурсе, порядок внесения изменений в заявки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8 «Порядок и срок отзыва заявок, порядок возврата заявок, порядок внесения изменений в заявки»</w:t>
            </w:r>
          </w:p>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предоставления участникам открытого конкурса разъяснений положений конкурсной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 течение двух рабочих дней с даты поступления направленного участником открытого конкурса в адрес департамента в письменной форме запроса о даче разъяснений положений конкурсной документации, департамент направляет в письменной форме или в форме электронного документа такому участнику разъяснения положений конкурсной документации, если указанный запрос поступил в департамент не позднее чем за пять дней до даты окончания срока подачи заявок на участие в открытом конкурсе</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Дата начала предоставления разъяснений положений конкурсной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F7210B" w:rsidRDefault="001D2F4F">
            <w:pPr>
              <w:pStyle w:val="NormalWeb"/>
            </w:pPr>
            <w:r w:rsidRPr="00F7210B">
              <w:t>26.10.2018</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Дата окончания срока предоставления разъяснений положений конкурсной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445B31" w:rsidRDefault="001D2F4F">
            <w:pPr>
              <w:pStyle w:val="NormalWeb"/>
            </w:pPr>
            <w:r w:rsidRPr="00445B31">
              <w:t>09.11.2018</w:t>
            </w:r>
          </w:p>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и критерии оценки заявок на участие в открытом конкурсе, величины их значимости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10 «Порядок и критерии оценки заявок участников закупки, показатели таких критериев и величины их значимостей»</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Порядок рассмотрения заявок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Согласно Разделу 9 «Порядок рассмотрения заявок на участие в открытом конкурсе»</w:t>
            </w:r>
          </w:p>
        </w:tc>
      </w:tr>
      <w:tr w:rsidR="001D2F4F" w:rsidRPr="00930335">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контрактной службе, контрактном управляющем, ответственных за заключение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r w:rsidRPr="002E5334">
              <w:rPr>
                <w:i/>
                <w:iCs/>
                <w:color w:val="000000"/>
              </w:rPr>
              <w:t xml:space="preserve">Контрактный управляющий заказчика </w:t>
            </w:r>
            <w:r w:rsidRPr="002E5334">
              <w:rPr>
                <w:i/>
                <w:iCs/>
              </w:rPr>
              <w:t xml:space="preserve">– </w:t>
            </w:r>
            <w:r>
              <w:rPr>
                <w:i/>
                <w:iCs/>
              </w:rPr>
              <w:t>Бугакова Евгения Сергеевна</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 течение десяти дней с даты размещения в единой информационной системе протокола рассмотрения и оценки заявок на участие в открытом конкурсе</w:t>
            </w:r>
          </w:p>
        </w:tc>
      </w:tr>
      <w:tr w:rsidR="001D2F4F" w:rsidRPr="00930335">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Условия признания победителя открытого конкурса или иного участника, с которым заключается контракт, уклонившимся от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 в случае непредоставления обеспечения исполнения контракта в срок, установленный для заключения контракта; - в случае если в срок, установленный в настоящей позиции для подписания контракта, участник не подписывает контракт, то такой участник считается уклонившимся от заключения контракта; - в случае неисполнение требований, предусмотренных статьей 37 44-ФЗ (в случае снижения при проведении такого конкурса цены контракта на двадцать пять процентов и более от начальной (максимальной) цены контракта) </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возможности одностороннего отказа от исполнения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 при условии, что контракт содержит право заказчика принять решение об одностороннем отказе от исполнения контракта.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установленные в соответствии с законодательством РФ к товару, работе, услуге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Не установлено </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Требование о соответствии поставляемого товара изображению товара, на поставку которого заключается контракт</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Изображение товара, которому должен соответствовать товар, поставляемый исполнителем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предусмотрено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39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Требование о соответствии поставляемого товара образцу или макету товара, на поставку которого заключается контракт</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установлено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 месте, датах начала и окончания, порядке и графике осмотра участниками открытого конкурса образца или макета товара, на поставку которого заключается контракт</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предусмотрена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Право заказчика на заключение контракта с несколькими участниками открытого конкурса. Количество контрактов, по которым возможно присвоения первого номера заявкам на участие в открытом конкурсе, содержащим лучшие условия исполнения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Не предусмотрено</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к участникам открытого конкурса в соответствии с пунктами 3-5, 7-11 части 1 статьи 31 44-ФЗ</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Установлены.*</w:t>
            </w:r>
          </w:p>
        </w:tc>
      </w:tr>
    </w:tbl>
    <w:p w:rsidR="001D2F4F" w:rsidRDefault="001D2F4F">
      <w:pPr>
        <w:pStyle w:val="NormalWeb"/>
      </w:pPr>
      <w:r>
        <w:rPr>
          <w:i/>
          <w:iCs/>
        </w:rPr>
        <w:t>* п. 8 части 1 статьи 31 44-ФЗ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2F4F" w:rsidRDefault="001D2F4F">
      <w:pPr>
        <w:pStyle w:val="Heading2"/>
      </w:pPr>
      <w:r>
        <w:t>РАЗДЕЛ 11.   ТРЕБОВАНИЯ К СОДЕРЖАНИЮ, К ФОРМЕ И СОСТАВУ ЗАЯВКИ НА УЧАСТИЕ В ОТКРЫТОМ КОНКУРСЕ</w:t>
      </w:r>
    </w:p>
    <w:tbl>
      <w:tblPr>
        <w:tblW w:w="0" w:type="auto"/>
        <w:tblCellMar>
          <w:top w:w="15" w:type="dxa"/>
          <w:left w:w="15" w:type="dxa"/>
          <w:bottom w:w="15" w:type="dxa"/>
          <w:right w:w="15" w:type="dxa"/>
        </w:tblCellMar>
        <w:tblLook w:val="00A0"/>
      </w:tblPr>
      <w:tblGrid>
        <w:gridCol w:w="3"/>
        <w:gridCol w:w="1100"/>
        <w:gridCol w:w="6851"/>
        <w:gridCol w:w="7045"/>
      </w:tblGrid>
      <w:tr w:rsidR="001D2F4F" w:rsidRPr="00930335">
        <w:trPr>
          <w:tblHeader/>
        </w:trPr>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pPr>
              <w:jc w:val="center"/>
            </w:pPr>
            <w:r>
              <w:rPr>
                <w:rStyle w:val="Strong"/>
              </w:rPr>
              <w:t>№ позиции</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pPr>
              <w:jc w:val="center"/>
            </w:pPr>
            <w:r>
              <w:rPr>
                <w:rStyle w:val="Strong"/>
              </w:rPr>
              <w:t>ПЕРЕЧЕНЬ ДОКУМЕНТОВ, ВХОДЯЩИХ В СОСТАВ ЗАЯВКИ</w:t>
            </w:r>
          </w:p>
        </w:tc>
      </w:tr>
      <w:tr w:rsidR="001D2F4F" w:rsidRPr="00930335">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43</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в единой информационной системе извещения о проведении открытого конкурса</w:t>
            </w:r>
          </w:p>
        </w:tc>
      </w:tr>
      <w:tr w:rsidR="001D2F4F" w:rsidRPr="00930335">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44</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в единой информационной системе извещения о проведении открытого конкурса</w:t>
            </w:r>
          </w:p>
        </w:tc>
      </w:tr>
      <w:tr w:rsidR="001D2F4F" w:rsidRPr="00930335">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45</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Копии документов, удостоверяющих личность (для иного физического лица)</w:t>
            </w:r>
          </w:p>
        </w:tc>
      </w:tr>
      <w:tr w:rsidR="001D2F4F" w:rsidRPr="00930335">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46</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Надлежащим образом заверенный перевод на русский язык документов о государственной регистрации юридического лица (для юридического лица) в соответствии с законодательством соответствующего государства (для иностранного лица)</w:t>
            </w:r>
          </w:p>
        </w:tc>
      </w:tr>
      <w:tr w:rsidR="001D2F4F" w:rsidRPr="00930335">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47</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(для индивидуального предпринимателя) в соответствии с законодательством соответствующего государства (для иностранного лица)</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48</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49</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Копии учредительных документов участника открытого конкурса (для юридических лиц)</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50</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оказание услуг, выполнение работ,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r>
      <w:tr w:rsidR="001D2F4F" w:rsidRPr="00930335">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rPr>
                <w:rStyle w:val="Strong"/>
              </w:rPr>
              <w:t xml:space="preserve">Условие предоставления  документа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rPr>
                <w:rStyle w:val="Strong"/>
              </w:rPr>
              <w:t>Наименование документа</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позиция </w:t>
            </w:r>
            <w:r w:rsidRPr="00930335">
              <w:rPr>
                <w:rStyle w:val="Strong"/>
              </w:rPr>
              <w:t>12</w:t>
            </w:r>
            <w:r w:rsidRPr="00930335">
              <w:t xml:space="preserve"> содержит требования к обеспечению заявки на участие в открытом конкурсе</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платежного поручения либо банковская гарантия, соответствующая требованиям статьи 45 44-ФЗ)</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позиция </w:t>
            </w:r>
            <w:r w:rsidRPr="00930335">
              <w:rPr>
                <w:rStyle w:val="Strong"/>
              </w:rPr>
              <w:t>15</w:t>
            </w:r>
            <w:r w:rsidRPr="00930335">
              <w:t xml:space="preserve"> содержит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Действующая выписка из реестра членов саморегулируемой организации в области архитектурно-строительного проектирования (или ее копия).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позицией </w:t>
            </w:r>
            <w:r w:rsidRPr="00930335">
              <w:rPr>
                <w:rStyle w:val="Strong"/>
              </w:rPr>
              <w:t>22</w:t>
            </w:r>
            <w:r w:rsidRPr="00930335">
              <w:t xml:space="preserve"> установлены преимущества, предоставляемые учреждениям и предприятиям уголовно-исполнительной системы</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отсутствуют</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позицией </w:t>
            </w:r>
            <w:r w:rsidRPr="00930335">
              <w:rPr>
                <w:rStyle w:val="Strong"/>
              </w:rPr>
              <w:t>23</w:t>
            </w:r>
            <w:r w:rsidRPr="00930335">
              <w:t xml:space="preserve"> установлены преимущества, предоставляемые организациям инвалидов</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отсутствуют</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позиция </w:t>
            </w:r>
            <w:r w:rsidRPr="00930335">
              <w:rPr>
                <w:rStyle w:val="Strong"/>
              </w:rPr>
              <w:t>36</w:t>
            </w:r>
            <w:r w:rsidRPr="00930335">
              <w:t xml:space="preserve"> содержит требования, установленные в соответствии с законодательством РФ к товару, работе, услуге, и если документы не передаются вместе с товаром</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Не установлены </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позиция </w:t>
            </w:r>
            <w:r w:rsidRPr="00930335">
              <w:rPr>
                <w:rStyle w:val="Strong"/>
              </w:rPr>
              <w:t>26</w:t>
            </w:r>
            <w:r w:rsidRPr="00930335">
              <w:t>содержит требования, предусмотренные нормативными правовыми актами, принятыми в соответствии со статьей 14 44-ФЗ</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Default="001D2F4F">
            <w:r>
              <w:t xml:space="preserve">Требования к предоставлению документов не установлены </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Если позиция </w:t>
            </w:r>
            <w:r w:rsidRPr="00930335">
              <w:rPr>
                <w:rStyle w:val="Strong"/>
              </w:rPr>
              <w:t>24</w:t>
            </w:r>
            <w:r w:rsidRPr="00930335">
              <w:t xml:space="preserve"> содержит 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44-ФЗ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Требования отсутствуют</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Если одним из критериев оценки заявок на участие в открытом конкурсе является квалификация участника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Документы, подтверждающие квалификацию участника открытого конкурса. Перечень таких документов установлен в Разделе  10 «Порядок и критерии оценки заявок участников открытого конкурса, показатели таких критериев и величины их значимостей». Документы предоставляются в целях оценки заявки участника по данному критерию. Отсутствие указанных документов не является основанием для признания заявки не соответствующей требованиям 44-ФЗ</w:t>
            </w:r>
          </w:p>
        </w:tc>
      </w:tr>
      <w:tr w:rsidR="001D2F4F" w:rsidRPr="00930335">
        <w:trPr>
          <w:gridBefore w:val="1"/>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59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Если предметом контракта, является поставка товара, необходимого для нормального жизнеобеспечения в соответствии с ч. 9 ст.37 44-ФЗ и участник открытого конкурса, предлагает цену контракта, которая на двадцать пять и более процентов ниже начальной (максимальной) цены контракта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Обоснование цены контракта: гарантийное письмо от производителя с указанием цены и количества поставляемого товара; документы, подтверждающие наличие товара у участника открытого конкурса; иные документы и расчеты, подтверждающие возможность участника открытого конкурса осуществить поставку товара по предлагаемой цене</w:t>
            </w:r>
          </w:p>
        </w:tc>
      </w:tr>
    </w:tbl>
    <w:p w:rsidR="001D2F4F" w:rsidRDefault="001D2F4F">
      <w:pPr>
        <w:pStyle w:val="NormalWeb"/>
      </w:pPr>
      <w:r>
        <w:t> </w:t>
      </w:r>
    </w:p>
    <w:tbl>
      <w:tblPr>
        <w:tblW w:w="0" w:type="auto"/>
        <w:tblCellMar>
          <w:top w:w="15" w:type="dxa"/>
          <w:left w:w="15" w:type="dxa"/>
          <w:bottom w:w="15" w:type="dxa"/>
          <w:right w:w="15" w:type="dxa"/>
        </w:tblCellMar>
        <w:tblLook w:val="00A0"/>
      </w:tblPr>
      <w:tblGrid>
        <w:gridCol w:w="1098"/>
        <w:gridCol w:w="7066"/>
        <w:gridCol w:w="6835"/>
      </w:tblGrid>
      <w:tr w:rsidR="001D2F4F" w:rsidRPr="00930335">
        <w:trPr>
          <w:tblHeader/>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jc w:val="center"/>
            </w:pPr>
            <w:r w:rsidRPr="00930335">
              <w:rPr>
                <w:rStyle w:val="Strong"/>
              </w:rPr>
              <w:t>№ позиции</w:t>
            </w:r>
          </w:p>
        </w:tc>
        <w:tc>
          <w:tcPr>
            <w:tcW w:w="0" w:type="auto"/>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jc w:val="center"/>
            </w:pPr>
            <w:r w:rsidRPr="00930335">
              <w:rPr>
                <w:rStyle w:val="Strong"/>
              </w:rPr>
              <w:t>ПЕРЕЧЕНЬ ИНФОРМАЦИИ, ВХОДЯЩЕЙ В СОСТАВ ЗАЯВКИ</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об участнике открытого конкурса</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Предложение участника открытого конкурса в отношении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В соответствии с требованиями, установленными в настоящем разделе к форме заявки на участие в конкурсе</w:t>
            </w:r>
          </w:p>
          <w:p w:rsidR="001D2F4F" w:rsidRPr="00930335" w:rsidRDefault="001D2F4F">
            <w:pPr>
              <w:pStyle w:val="NormalWeb"/>
            </w:pPr>
            <w:r w:rsidRPr="00930335">
              <w:t>В случае закупки товара также:</w:t>
            </w:r>
          </w:p>
          <w:p w:rsidR="001D2F4F" w:rsidRPr="00930335" w:rsidRDefault="001D2F4F">
            <w:pPr>
              <w:pStyle w:val="NormalWeb"/>
            </w:pPr>
            <w:r w:rsidRPr="00930335">
              <w:t>- предлагаемую цену единицы товара;</w:t>
            </w:r>
          </w:p>
          <w:p w:rsidR="001D2F4F" w:rsidRPr="00930335" w:rsidRDefault="001D2F4F">
            <w:pPr>
              <w:pStyle w:val="NormalWeb"/>
            </w:pPr>
            <w:r w:rsidRPr="00930335">
              <w:t xml:space="preserve">- информацию о стране происхождения товара (если позицией 26 Раздела 1 настоящей документации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44-ФЗ) </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 непроведении ликвидации участника открытого конкурса - юридического лица и отсутствии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Декларирование в заявке на участие в открытом конкурсе о соответствии данным требованиям, в соответствии с пунктами 3-5, 7-9 части 1 статьи 31 44-ФЗ</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 неприостановлении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открытом конкурсе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 отсутствии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 отсутствии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Об обладании участником открытого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69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 принадлежности к субъектам малого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Декларация о принадлежности участника закупки к субъектам малого предпринимательства или о принадлежности участника закупки к социально ориентированным некоммерческим организациям в случае установления в позиции 9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70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О принадлежности к социально ориентированным некоммерческим организациям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D2F4F" w:rsidRPr="00930335" w:rsidRDefault="001D2F4F"/>
        </w:tc>
      </w:tr>
      <w:tr w:rsidR="001D2F4F" w:rsidRPr="00930335">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71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 xml:space="preserve">Участником </w:t>
            </w:r>
            <w:r w:rsidRPr="00930335">
              <w:rPr>
                <w:rStyle w:val="Strong"/>
              </w:rPr>
              <w:t>может быть предоставлена информация</w:t>
            </w:r>
            <w:r w:rsidRPr="00930335">
              <w:t>, подтверждающая его добросовестность на дату подачи заявки, если при проведении открытого конкурса начальная (максимальная) цена контракта составляет пятнадцать миллионов рублей и менее, и участником открытого конкурса предложена цена контракта, которая на двадцать пять и более процентов ниже начальной (максимальной) цены контракта. Данная информация предоставляется в целях определения добросовестности участника и права (при условии признания его победителем открытого конкурса или участником, с которым надлежит заключить контракт) на внесение обеспечения исполнения контракта при его заключения в установленном в извещении и конкурсной документации размере в денежном выражении</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1D2F4F" w:rsidRPr="00930335" w:rsidRDefault="001D2F4F">
            <w:pPr>
              <w:pStyle w:val="NormalWeb"/>
            </w:pPr>
            <w:r w:rsidRPr="00930335">
              <w:t>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открытом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открытого конкурса предложено заключить контракт.</w:t>
            </w:r>
          </w:p>
          <w:p w:rsidR="001D2F4F" w:rsidRPr="00930335" w:rsidRDefault="001D2F4F">
            <w:pPr>
              <w:pStyle w:val="NormalWeb"/>
            </w:pPr>
            <w:r w:rsidRPr="00930335">
              <w:t>Предоставляемая информация должна идентифицировать  контракты и требуемые сведения в реестре контрактов.</w:t>
            </w:r>
          </w:p>
        </w:tc>
      </w:tr>
    </w:tbl>
    <w:p w:rsidR="001D2F4F" w:rsidRDefault="001D2F4F"/>
    <w:p w:rsidR="001D2F4F" w:rsidRDefault="001D2F4F"/>
    <w:p w:rsidR="001D2F4F" w:rsidRDefault="001D2F4F"/>
    <w:p w:rsidR="001D2F4F" w:rsidRDefault="001D2F4F"/>
    <w:p w:rsidR="001D2F4F" w:rsidRDefault="001D2F4F" w:rsidP="006F4F0D">
      <w:pPr>
        <w:ind w:firstLine="709"/>
        <w:jc w:val="both"/>
      </w:pPr>
      <w:r>
        <w:t>Форма заявки на участие в открытом конкурсе:</w:t>
      </w:r>
    </w:p>
    <w:p w:rsidR="001D2F4F" w:rsidRDefault="001D2F4F" w:rsidP="006F4F0D">
      <w:pPr>
        <w:jc w:val="both"/>
        <w:rPr>
          <w:b/>
        </w:rPr>
      </w:pPr>
    </w:p>
    <w:p w:rsidR="001D2F4F" w:rsidRDefault="001D2F4F" w:rsidP="006F4F0D">
      <w:pPr>
        <w:jc w:val="both"/>
        <w:rPr>
          <w:b/>
        </w:rPr>
      </w:pPr>
    </w:p>
    <w:p w:rsidR="001D2F4F" w:rsidRDefault="001D2F4F" w:rsidP="006F4F0D">
      <w:pPr>
        <w:jc w:val="center"/>
        <w:rPr>
          <w:b/>
          <w:sz w:val="22"/>
          <w:szCs w:val="22"/>
        </w:rPr>
      </w:pPr>
      <w:r>
        <w:rPr>
          <w:b/>
        </w:rPr>
        <w:t xml:space="preserve">ЗАЯВКА </w:t>
      </w:r>
      <w:r>
        <w:rPr>
          <w:b/>
          <w:sz w:val="22"/>
          <w:szCs w:val="22"/>
        </w:rPr>
        <w:t>НА УЧАСТИЕ В ОТКРЫТОМ КОНКУРСЕ</w:t>
      </w:r>
    </w:p>
    <w:p w:rsidR="001D2F4F" w:rsidRDefault="001D2F4F" w:rsidP="006F4F0D">
      <w:pPr>
        <w:pStyle w:val="BodyText3"/>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0"/>
        <w:ind w:firstLine="709"/>
        <w:contextualSpacing/>
        <w:rPr>
          <w:b/>
          <w:sz w:val="22"/>
          <w:szCs w:val="22"/>
        </w:rPr>
      </w:pPr>
    </w:p>
    <w:p w:rsidR="001D2F4F" w:rsidRDefault="001D2F4F" w:rsidP="006F4F0D">
      <w:pPr>
        <w:pStyle w:val="BodyText3"/>
        <w:spacing w:after="0"/>
        <w:contextualSpacing/>
        <w:rPr>
          <w:sz w:val="24"/>
          <w:szCs w:val="24"/>
        </w:rPr>
      </w:pPr>
      <w:r>
        <w:rPr>
          <w:sz w:val="24"/>
          <w:szCs w:val="24"/>
        </w:rPr>
        <w:t>по извещению № ________________________</w:t>
      </w:r>
    </w:p>
    <w:p w:rsidR="001D2F4F" w:rsidRDefault="001D2F4F" w:rsidP="006F4F0D">
      <w:pPr>
        <w:pStyle w:val="BodyText3"/>
        <w:spacing w:after="0"/>
        <w:contextualSpacing/>
        <w:rPr>
          <w:sz w:val="24"/>
          <w:szCs w:val="24"/>
        </w:rPr>
      </w:pPr>
    </w:p>
    <w:p w:rsidR="001D2F4F" w:rsidRDefault="001D2F4F" w:rsidP="006F4F0D">
      <w:pPr>
        <w:pStyle w:val="BodyText3"/>
        <w:spacing w:after="0"/>
        <w:contextualSpacing/>
        <w:rPr>
          <w:sz w:val="24"/>
          <w:szCs w:val="24"/>
          <w:u w:val="single"/>
        </w:rPr>
      </w:pPr>
      <w:r>
        <w:rPr>
          <w:sz w:val="24"/>
          <w:szCs w:val="24"/>
        </w:rPr>
        <w:t>на право заключения с заказчиком _____________________________________________________________________________________________________________________</w:t>
      </w:r>
    </w:p>
    <w:p w:rsidR="001D2F4F" w:rsidRDefault="001D2F4F" w:rsidP="006F4F0D">
      <w:pPr>
        <w:pStyle w:val="BodyText3"/>
        <w:spacing w:after="0"/>
        <w:ind w:firstLine="709"/>
        <w:contextualSpacing/>
        <w:rPr>
          <w:b/>
          <w:sz w:val="24"/>
          <w:szCs w:val="24"/>
        </w:rPr>
      </w:pPr>
    </w:p>
    <w:p w:rsidR="001D2F4F" w:rsidRDefault="001D2F4F" w:rsidP="006F4F0D">
      <w:pPr>
        <w:pStyle w:val="BodyText3"/>
        <w:spacing w:after="0"/>
        <w:contextualSpacing/>
        <w:rPr>
          <w:sz w:val="24"/>
          <w:szCs w:val="24"/>
        </w:rPr>
      </w:pPr>
      <w:r>
        <w:rPr>
          <w:sz w:val="24"/>
          <w:szCs w:val="24"/>
        </w:rPr>
        <w:t>контракта, предметом которого является  _____________________________________________________________________________________________________________________</w:t>
      </w:r>
    </w:p>
    <w:p w:rsidR="001D2F4F" w:rsidRDefault="001D2F4F" w:rsidP="006F4F0D"/>
    <w:p w:rsidR="001D2F4F" w:rsidRDefault="001D2F4F" w:rsidP="006F4F0D">
      <w:pPr>
        <w:pStyle w:val="BodyText2"/>
        <w:spacing w:after="0" w:line="240" w:lineRule="auto"/>
        <w:contextualSpacing/>
      </w:pPr>
      <w:r>
        <w:t>Настоящая заявка включает в себя  документы и информацию согласно описи: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801"/>
        <w:gridCol w:w="8505"/>
      </w:tblGrid>
      <w:tr w:rsidR="001D2F4F" w:rsidRPr="00930335" w:rsidTr="006F4F0D">
        <w:tc>
          <w:tcPr>
            <w:tcW w:w="720" w:type="dxa"/>
            <w:vAlign w:val="center"/>
          </w:tcPr>
          <w:p w:rsidR="001D2F4F" w:rsidRPr="00930335" w:rsidRDefault="001D2F4F" w:rsidP="007C4748">
            <w:pPr>
              <w:jc w:val="both"/>
              <w:rPr>
                <w:b/>
              </w:rPr>
            </w:pPr>
            <w:r w:rsidRPr="00930335">
              <w:rPr>
                <w:b/>
              </w:rPr>
              <w:t>№ п/п</w:t>
            </w:r>
          </w:p>
        </w:tc>
        <w:tc>
          <w:tcPr>
            <w:tcW w:w="5801" w:type="dxa"/>
            <w:vAlign w:val="center"/>
          </w:tcPr>
          <w:p w:rsidR="001D2F4F" w:rsidRPr="00930335" w:rsidRDefault="001D2F4F" w:rsidP="007C4748">
            <w:pPr>
              <w:jc w:val="both"/>
              <w:rPr>
                <w:b/>
              </w:rPr>
            </w:pPr>
            <w:r w:rsidRPr="00930335">
              <w:rPr>
                <w:b/>
              </w:rPr>
              <w:t>Наименование документа, информации</w:t>
            </w:r>
          </w:p>
        </w:tc>
        <w:tc>
          <w:tcPr>
            <w:tcW w:w="8505" w:type="dxa"/>
            <w:vAlign w:val="center"/>
          </w:tcPr>
          <w:p w:rsidR="001D2F4F" w:rsidRPr="00930335" w:rsidRDefault="001D2F4F" w:rsidP="007C4748">
            <w:pPr>
              <w:jc w:val="both"/>
              <w:rPr>
                <w:b/>
              </w:rPr>
            </w:pPr>
            <w:r w:rsidRPr="00930335">
              <w:rPr>
                <w:b/>
              </w:rPr>
              <w:t xml:space="preserve">Номер листа </w:t>
            </w:r>
            <w:r w:rsidRPr="00930335">
              <w:t>в прошитом комплекте документов заявки (томе заявки)</w:t>
            </w: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r w:rsidR="001D2F4F" w:rsidRPr="00930335" w:rsidTr="006F4F0D">
        <w:tc>
          <w:tcPr>
            <w:tcW w:w="720" w:type="dxa"/>
          </w:tcPr>
          <w:p w:rsidR="001D2F4F" w:rsidRPr="00930335" w:rsidRDefault="001D2F4F" w:rsidP="007C4748">
            <w:pPr>
              <w:numPr>
                <w:ilvl w:val="0"/>
                <w:numId w:val="1"/>
              </w:numPr>
              <w:ind w:left="0" w:firstLine="0"/>
              <w:contextualSpacing/>
              <w:jc w:val="both"/>
            </w:pPr>
          </w:p>
        </w:tc>
        <w:tc>
          <w:tcPr>
            <w:tcW w:w="5801" w:type="dxa"/>
          </w:tcPr>
          <w:p w:rsidR="001D2F4F" w:rsidRPr="00930335" w:rsidRDefault="001D2F4F" w:rsidP="007C4748">
            <w:pPr>
              <w:jc w:val="both"/>
            </w:pPr>
          </w:p>
        </w:tc>
        <w:tc>
          <w:tcPr>
            <w:tcW w:w="8505" w:type="dxa"/>
          </w:tcPr>
          <w:p w:rsidR="001D2F4F" w:rsidRPr="00930335" w:rsidRDefault="001D2F4F" w:rsidP="007C4748">
            <w:pPr>
              <w:jc w:val="both"/>
            </w:pPr>
          </w:p>
        </w:tc>
      </w:tr>
    </w:tbl>
    <w:p w:rsidR="001D2F4F" w:rsidRDefault="001D2F4F" w:rsidP="006F4F0D">
      <w:pPr>
        <w:jc w:val="both"/>
      </w:pPr>
    </w:p>
    <w:p w:rsidR="001D2F4F" w:rsidRDefault="001D2F4F" w:rsidP="006F4F0D">
      <w:pPr>
        <w:pStyle w:val="BodyText2"/>
        <w:spacing w:after="0" w:line="240" w:lineRule="auto"/>
        <w:contextualSpacing/>
        <w:jc w:val="both"/>
      </w:pPr>
      <w:r>
        <w:t>Изучив конкурсную документацию,</w:t>
      </w:r>
    </w:p>
    <w:p w:rsidR="001D2F4F" w:rsidRDefault="001D2F4F" w:rsidP="006F4F0D">
      <w:pPr>
        <w:pStyle w:val="BodyText2"/>
        <w:spacing w:after="0" w:line="240" w:lineRule="auto"/>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6"/>
        <w:gridCol w:w="9805"/>
      </w:tblGrid>
      <w:tr w:rsidR="001D2F4F" w:rsidRPr="00930335" w:rsidTr="006F4F0D">
        <w:tc>
          <w:tcPr>
            <w:tcW w:w="1747" w:type="pct"/>
          </w:tcPr>
          <w:p w:rsidR="001D2F4F" w:rsidRDefault="001D2F4F" w:rsidP="007C4748">
            <w:pPr>
              <w:pStyle w:val="BodyTextIndent"/>
              <w:spacing w:after="0"/>
              <w:ind w:left="0"/>
              <w:contextualSpacing/>
              <w:jc w:val="both"/>
            </w:pPr>
            <w:r>
              <w:t>Наименование участника открытого конкурса</w:t>
            </w:r>
          </w:p>
        </w:tc>
        <w:tc>
          <w:tcPr>
            <w:tcW w:w="3253" w:type="pct"/>
          </w:tcPr>
          <w:p w:rsidR="001D2F4F" w:rsidRDefault="001D2F4F" w:rsidP="007C4748">
            <w:pPr>
              <w:pStyle w:val="BodyText2"/>
              <w:spacing w:after="0" w:line="240" w:lineRule="auto"/>
              <w:contextualSpacing/>
              <w:jc w:val="both"/>
            </w:pPr>
          </w:p>
        </w:tc>
      </w:tr>
      <w:tr w:rsidR="001D2F4F" w:rsidRPr="00930335" w:rsidTr="006F4F0D">
        <w:tc>
          <w:tcPr>
            <w:tcW w:w="1747" w:type="pct"/>
          </w:tcPr>
          <w:p w:rsidR="001D2F4F" w:rsidRDefault="001D2F4F" w:rsidP="007C4748">
            <w:pPr>
              <w:pStyle w:val="BodyTextIndent"/>
              <w:spacing w:after="0"/>
              <w:ind w:left="0"/>
              <w:contextualSpacing/>
              <w:jc w:val="both"/>
            </w:pPr>
            <w:r>
              <w:t>Фирменное наименование участника закупки (при наличии)</w:t>
            </w:r>
          </w:p>
        </w:tc>
        <w:tc>
          <w:tcPr>
            <w:tcW w:w="3253" w:type="pct"/>
          </w:tcPr>
          <w:p w:rsidR="001D2F4F" w:rsidRDefault="001D2F4F" w:rsidP="007C4748">
            <w:pPr>
              <w:pStyle w:val="BodyText2"/>
              <w:spacing w:after="0" w:line="240" w:lineRule="auto"/>
              <w:contextualSpacing/>
              <w:jc w:val="both"/>
              <w:rPr>
                <w:noProof/>
                <w:lang w:eastAsia="en-US"/>
              </w:rPr>
            </w:pPr>
          </w:p>
        </w:tc>
      </w:tr>
      <w:tr w:rsidR="001D2F4F" w:rsidRPr="00930335" w:rsidTr="006F4F0D">
        <w:tc>
          <w:tcPr>
            <w:tcW w:w="1747" w:type="pct"/>
          </w:tcPr>
          <w:p w:rsidR="001D2F4F" w:rsidRDefault="001D2F4F" w:rsidP="007C4748">
            <w:pPr>
              <w:pStyle w:val="BodyTextIndent"/>
              <w:spacing w:after="0"/>
              <w:ind w:left="0"/>
              <w:contextualSpacing/>
              <w:jc w:val="both"/>
            </w:pPr>
            <w:r>
              <w:t>Место нахождения, почтовый адрес (для юридического лица)</w:t>
            </w:r>
          </w:p>
        </w:tc>
        <w:tc>
          <w:tcPr>
            <w:tcW w:w="3253" w:type="pct"/>
          </w:tcPr>
          <w:p w:rsidR="001D2F4F" w:rsidRDefault="001D2F4F" w:rsidP="007C4748">
            <w:pPr>
              <w:pStyle w:val="BodyTextIndent"/>
              <w:spacing w:after="0"/>
              <w:ind w:left="0"/>
              <w:contextualSpacing/>
              <w:jc w:val="both"/>
            </w:pPr>
          </w:p>
        </w:tc>
      </w:tr>
      <w:tr w:rsidR="001D2F4F" w:rsidRPr="00930335" w:rsidTr="006F4F0D">
        <w:tc>
          <w:tcPr>
            <w:tcW w:w="1747" w:type="pct"/>
          </w:tcPr>
          <w:p w:rsidR="001D2F4F" w:rsidRDefault="001D2F4F" w:rsidP="007C4748">
            <w:pPr>
              <w:pStyle w:val="BodyTextIndent"/>
              <w:spacing w:after="0"/>
              <w:ind w:left="0"/>
              <w:contextualSpacing/>
              <w:jc w:val="both"/>
            </w:pPr>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3253" w:type="pct"/>
          </w:tcPr>
          <w:p w:rsidR="001D2F4F" w:rsidRDefault="001D2F4F" w:rsidP="007C4748">
            <w:pPr>
              <w:pStyle w:val="BodyTextIndent"/>
              <w:spacing w:after="0"/>
              <w:ind w:left="0"/>
              <w:contextualSpacing/>
              <w:jc w:val="both"/>
            </w:pPr>
          </w:p>
        </w:tc>
      </w:tr>
      <w:tr w:rsidR="001D2F4F" w:rsidRPr="00930335" w:rsidTr="006F4F0D">
        <w:tc>
          <w:tcPr>
            <w:tcW w:w="1747" w:type="pct"/>
          </w:tcPr>
          <w:p w:rsidR="001D2F4F" w:rsidRDefault="001D2F4F" w:rsidP="007C4748">
            <w:pPr>
              <w:pStyle w:val="BodyTextIndent"/>
              <w:spacing w:after="0"/>
              <w:ind w:left="0"/>
              <w:contextualSpacing/>
              <w:jc w:val="both"/>
            </w:pPr>
            <w:r>
              <w:t>Фамилия, имя, отчество (при наличии)</w:t>
            </w:r>
          </w:p>
        </w:tc>
        <w:tc>
          <w:tcPr>
            <w:tcW w:w="3253" w:type="pct"/>
          </w:tcPr>
          <w:p w:rsidR="001D2F4F" w:rsidRDefault="001D2F4F" w:rsidP="007C4748">
            <w:pPr>
              <w:pStyle w:val="BodyText2"/>
              <w:spacing w:after="0" w:line="240" w:lineRule="auto"/>
              <w:contextualSpacing/>
              <w:jc w:val="both"/>
              <w:rPr>
                <w:noProof/>
                <w:lang w:eastAsia="en-US"/>
              </w:rPr>
            </w:pPr>
          </w:p>
        </w:tc>
      </w:tr>
      <w:tr w:rsidR="001D2F4F" w:rsidRPr="00930335" w:rsidTr="006F4F0D">
        <w:tc>
          <w:tcPr>
            <w:tcW w:w="1747" w:type="pct"/>
          </w:tcPr>
          <w:p w:rsidR="001D2F4F" w:rsidRDefault="001D2F4F" w:rsidP="007C4748">
            <w:pPr>
              <w:pStyle w:val="BodyTextIndent"/>
              <w:spacing w:after="0"/>
              <w:ind w:left="0"/>
              <w:contextualSpacing/>
              <w:jc w:val="both"/>
            </w:pPr>
            <w:r>
              <w:t>Паспортные данные (для физического лица)</w:t>
            </w:r>
          </w:p>
        </w:tc>
        <w:tc>
          <w:tcPr>
            <w:tcW w:w="3253" w:type="pct"/>
          </w:tcPr>
          <w:p w:rsidR="001D2F4F" w:rsidRDefault="001D2F4F" w:rsidP="007C4748">
            <w:pPr>
              <w:pStyle w:val="BodyText2"/>
              <w:spacing w:after="0" w:line="240" w:lineRule="auto"/>
              <w:contextualSpacing/>
              <w:jc w:val="both"/>
              <w:rPr>
                <w:noProof/>
                <w:lang w:eastAsia="en-US"/>
              </w:rPr>
            </w:pPr>
          </w:p>
        </w:tc>
      </w:tr>
      <w:tr w:rsidR="001D2F4F" w:rsidRPr="00930335" w:rsidTr="006F4F0D">
        <w:tc>
          <w:tcPr>
            <w:tcW w:w="1747" w:type="pct"/>
          </w:tcPr>
          <w:p w:rsidR="001D2F4F" w:rsidRDefault="001D2F4F" w:rsidP="007C4748">
            <w:pPr>
              <w:pStyle w:val="BodyTextIndent"/>
              <w:spacing w:after="0"/>
              <w:ind w:left="0"/>
              <w:contextualSpacing/>
              <w:jc w:val="both"/>
            </w:pPr>
            <w:r>
              <w:t>Место жительства (для физического лица)</w:t>
            </w:r>
          </w:p>
        </w:tc>
        <w:tc>
          <w:tcPr>
            <w:tcW w:w="3253" w:type="pct"/>
          </w:tcPr>
          <w:p w:rsidR="001D2F4F" w:rsidRDefault="001D2F4F" w:rsidP="007C4748">
            <w:pPr>
              <w:pStyle w:val="BodyText2"/>
              <w:spacing w:after="0" w:line="240" w:lineRule="auto"/>
              <w:contextualSpacing/>
              <w:jc w:val="both"/>
              <w:rPr>
                <w:noProof/>
                <w:lang w:eastAsia="en-US"/>
              </w:rPr>
            </w:pPr>
          </w:p>
        </w:tc>
      </w:tr>
      <w:tr w:rsidR="001D2F4F" w:rsidRPr="00930335" w:rsidTr="006F4F0D">
        <w:tc>
          <w:tcPr>
            <w:tcW w:w="1747" w:type="pct"/>
          </w:tcPr>
          <w:p w:rsidR="001D2F4F" w:rsidRDefault="001D2F4F" w:rsidP="007C4748">
            <w:pPr>
              <w:pStyle w:val="BodyTextIndent"/>
              <w:spacing w:after="0"/>
              <w:ind w:left="0"/>
              <w:contextualSpacing/>
              <w:jc w:val="both"/>
            </w:pPr>
            <w:r>
              <w:t>Номер контактного телефона</w:t>
            </w:r>
          </w:p>
        </w:tc>
        <w:tc>
          <w:tcPr>
            <w:tcW w:w="3253" w:type="pct"/>
          </w:tcPr>
          <w:p w:rsidR="001D2F4F" w:rsidRDefault="001D2F4F" w:rsidP="007C4748">
            <w:pPr>
              <w:pStyle w:val="BodyText2"/>
              <w:spacing w:after="0" w:line="240" w:lineRule="auto"/>
              <w:contextualSpacing/>
              <w:jc w:val="both"/>
              <w:rPr>
                <w:noProof/>
                <w:lang w:eastAsia="en-US"/>
              </w:rPr>
            </w:pPr>
          </w:p>
        </w:tc>
      </w:tr>
    </w:tbl>
    <w:p w:rsidR="001D2F4F" w:rsidRDefault="001D2F4F" w:rsidP="006F4F0D">
      <w:pPr>
        <w:pStyle w:val="BodyText2"/>
        <w:spacing w:after="0" w:line="240" w:lineRule="auto"/>
        <w:contextualSpacing/>
        <w:jc w:val="both"/>
        <w:rPr>
          <w:sz w:val="22"/>
          <w:szCs w:val="22"/>
        </w:rPr>
      </w:pPr>
    </w:p>
    <w:p w:rsidR="001D2F4F" w:rsidRDefault="001D2F4F" w:rsidP="006F4F0D">
      <w:pPr>
        <w:pStyle w:val="BodyText2"/>
        <w:spacing w:after="0" w:line="240" w:lineRule="auto"/>
        <w:contextualSpacing/>
        <w:jc w:val="both"/>
        <w:rPr>
          <w:sz w:val="22"/>
          <w:szCs w:val="22"/>
        </w:rPr>
      </w:pPr>
      <w:r>
        <w:rPr>
          <w:sz w:val="22"/>
          <w:szCs w:val="22"/>
        </w:rPr>
        <w:t xml:space="preserve">подтверждаем(-ю) соответствие требованиям: </w:t>
      </w:r>
    </w:p>
    <w:tbl>
      <w:tblPr>
        <w:tblW w:w="5000" w:type="pct"/>
        <w:tblLook w:val="00A0"/>
      </w:tblPr>
      <w:tblGrid>
        <w:gridCol w:w="15071"/>
      </w:tblGrid>
      <w:tr w:rsidR="001D2F4F" w:rsidRPr="00930335" w:rsidTr="006F4F0D">
        <w:tc>
          <w:tcPr>
            <w:tcW w:w="5000" w:type="pct"/>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 непроведенииликвидации  и отсутствии решения арбитражного суда о признании несостоятельным (банкротом) и об открытии конкурсного производства;</w:t>
            </w:r>
          </w:p>
        </w:tc>
      </w:tr>
      <w:tr w:rsidR="001D2F4F" w:rsidRPr="00930335" w:rsidTr="006F4F0D">
        <w:tc>
          <w:tcPr>
            <w:tcW w:w="5000" w:type="pct"/>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 неприостановлении деятельности в порядке, установленном </w:t>
            </w:r>
            <w:hyperlink r:id="rId5" w:history="1">
              <w:r w:rsidRPr="00930335">
                <w:rPr>
                  <w:rStyle w:val="Hyperlink"/>
                  <w:rFonts w:ascii="Times New Roman" w:hAnsi="Times New Roman"/>
                </w:rPr>
                <w:t>Кодексом</w:t>
              </w:r>
            </w:hyperlink>
            <w:r>
              <w:rPr>
                <w:rFonts w:ascii="Times New Roman" w:hAnsi="Times New Roman"/>
              </w:rPr>
              <w:t xml:space="preserve"> Российской Федерации об административных правонарушениях, на дату подачи заявки на участие в конкурсе;</w:t>
            </w:r>
          </w:p>
        </w:tc>
      </w:tr>
      <w:tr w:rsidR="001D2F4F" w:rsidRPr="00930335" w:rsidTr="006F4F0D">
        <w:tc>
          <w:tcPr>
            <w:tcW w:w="5000" w:type="pct"/>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930335">
                <w:rPr>
                  <w:rStyle w:val="Hyperlink"/>
                  <w:rFonts w:ascii="Times New Roman" w:hAnsi="Times New Roman"/>
                </w:rPr>
                <w:t>законодательством</w:t>
              </w:r>
            </w:hyperlink>
            <w:r>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930335">
                <w:rPr>
                  <w:rStyle w:val="Hyperlink"/>
                  <w:rFonts w:ascii="Times New Roman" w:hAnsi="Times New Roman"/>
                </w:rPr>
                <w:t>законодательством</w:t>
              </w:r>
            </w:hyperlink>
            <w:r>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1D2F4F" w:rsidRPr="00930335" w:rsidTr="006F4F0D">
        <w:tc>
          <w:tcPr>
            <w:tcW w:w="5000" w:type="pct"/>
            <w:shd w:val="clear" w:color="auto" w:fill="FFFFFF"/>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об отсутствии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strike/>
              </w:rPr>
            </w:pPr>
            <w:r>
              <w:rPr>
                <w:rFonts w:ascii="Times New Roman" w:hAnsi="Times New Roman"/>
              </w:rPr>
              <w:t xml:space="preserve">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1D2F4F" w:rsidRPr="00930335" w:rsidTr="006F4F0D">
        <w:tc>
          <w:tcPr>
            <w:tcW w:w="5000" w:type="pct"/>
            <w:shd w:val="clear" w:color="auto" w:fill="FFFFFF"/>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r>
      <w:tr w:rsidR="001D2F4F" w:rsidRPr="00930335" w:rsidTr="006F4F0D">
        <w:tc>
          <w:tcPr>
            <w:tcW w:w="5000" w:type="pct"/>
            <w:shd w:val="clear" w:color="auto" w:fill="FFFFFF"/>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1D2F4F" w:rsidRDefault="001D2F4F" w:rsidP="006F4F0D">
      <w:pPr>
        <w:pStyle w:val="BodyText2"/>
        <w:spacing w:after="0" w:line="240" w:lineRule="auto"/>
        <w:contextualSpacing/>
        <w:jc w:val="both"/>
        <w:rPr>
          <w:color w:val="000000"/>
          <w:u w:val="single"/>
        </w:rPr>
      </w:pPr>
    </w:p>
    <w:p w:rsidR="001D2F4F" w:rsidRDefault="001D2F4F" w:rsidP="006F4F0D">
      <w:pPr>
        <w:pStyle w:val="BodyText2"/>
        <w:spacing w:after="0" w:line="240" w:lineRule="auto"/>
        <w:contextualSpacing/>
        <w:jc w:val="both"/>
        <w:rPr>
          <w:color w:val="000000"/>
          <w:u w:val="single"/>
        </w:rPr>
      </w:pPr>
      <w:r>
        <w:rPr>
          <w:color w:val="000000"/>
          <w:highlight w:val="yellow"/>
          <w:u w:val="single"/>
        </w:rPr>
        <w:t>ОСТАВИТЬ НЕОБХОДИМОЕ</w:t>
      </w:r>
      <w:r>
        <w:rPr>
          <w:color w:val="000000"/>
          <w:u w:val="single"/>
        </w:rPr>
        <w:t>:</w:t>
      </w:r>
    </w:p>
    <w:tbl>
      <w:tblPr>
        <w:tblW w:w="5000" w:type="pct"/>
        <w:tblLook w:val="00A0"/>
      </w:tblPr>
      <w:tblGrid>
        <w:gridCol w:w="15071"/>
      </w:tblGrid>
      <w:tr w:rsidR="001D2F4F" w:rsidRPr="00930335" w:rsidTr="006F4F0D">
        <w:trPr>
          <w:trHeight w:val="272"/>
        </w:trPr>
        <w:tc>
          <w:tcPr>
            <w:tcW w:w="5000" w:type="pct"/>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b/>
                <w:i/>
                <w:color w:val="000000"/>
                <w:sz w:val="24"/>
                <w:szCs w:val="24"/>
                <w:lang w:eastAsia="ru-RU"/>
              </w:rPr>
            </w:pPr>
            <w:r>
              <w:rPr>
                <w:rFonts w:ascii="Times New Roman" w:hAnsi="Times New Roman"/>
                <w:color w:val="000000"/>
                <w:sz w:val="24"/>
                <w:szCs w:val="24"/>
              </w:rPr>
              <w:t xml:space="preserve">     о принадлежности к субъектам малого предпринимательства</w:t>
            </w:r>
            <w:r>
              <w:rPr>
                <w:rFonts w:ascii="Times New Roman" w:hAnsi="Times New Roman"/>
                <w:b/>
                <w:i/>
                <w:color w:val="000000"/>
                <w:sz w:val="24"/>
                <w:szCs w:val="24"/>
                <w:highlight w:val="yellow"/>
                <w:lang w:eastAsia="ru-RU"/>
              </w:rPr>
              <w:t>(в случае наличия требования, установленного в извещении и в Разделе 1 «Информационная карта» конкурсной документации (закупка производится  только у субъектов малого предпринимательства и социально ориентированных некоммерческих организаций);</w:t>
            </w:r>
          </w:p>
          <w:p w:rsidR="001D2F4F" w:rsidRDefault="001D2F4F" w:rsidP="007C4748">
            <w:pPr>
              <w:pStyle w:val="ListParagraph"/>
              <w:widowControl w:val="0"/>
              <w:tabs>
                <w:tab w:val="left" w:pos="1575"/>
              </w:tabs>
              <w:autoSpaceDE w:val="0"/>
              <w:autoSpaceDN w:val="0"/>
              <w:adjustRightInd w:val="0"/>
              <w:spacing w:after="0" w:line="240" w:lineRule="auto"/>
              <w:ind w:left="0"/>
              <w:jc w:val="both"/>
              <w:rPr>
                <w:rFonts w:ascii="Times New Roman" w:hAnsi="Times New Roman"/>
                <w:b/>
                <w:i/>
                <w:color w:val="000000"/>
                <w:sz w:val="24"/>
                <w:szCs w:val="24"/>
              </w:rPr>
            </w:pPr>
            <w:r>
              <w:rPr>
                <w:rFonts w:ascii="Times New Roman" w:hAnsi="Times New Roman"/>
                <w:b/>
                <w:i/>
                <w:color w:val="000000"/>
                <w:sz w:val="24"/>
                <w:szCs w:val="24"/>
                <w:lang w:eastAsia="ru-RU"/>
              </w:rPr>
              <w:t xml:space="preserve">       ИЛИ</w:t>
            </w:r>
            <w:r>
              <w:rPr>
                <w:rFonts w:ascii="Times New Roman" w:hAnsi="Times New Roman"/>
                <w:b/>
                <w:i/>
                <w:color w:val="000000"/>
                <w:sz w:val="24"/>
                <w:szCs w:val="24"/>
                <w:lang w:eastAsia="ru-RU"/>
              </w:rPr>
              <w:tab/>
            </w:r>
          </w:p>
        </w:tc>
      </w:tr>
      <w:tr w:rsidR="001D2F4F" w:rsidRPr="00930335" w:rsidTr="006F4F0D">
        <w:trPr>
          <w:trHeight w:val="225"/>
        </w:trPr>
        <w:tc>
          <w:tcPr>
            <w:tcW w:w="5000" w:type="pct"/>
          </w:tcPr>
          <w:p w:rsidR="001D2F4F" w:rsidRDefault="001D2F4F" w:rsidP="007C4748">
            <w:pPr>
              <w:pStyle w:val="ListParagraph"/>
              <w:widowControl w:val="0"/>
              <w:tabs>
                <w:tab w:val="left" w:pos="851"/>
              </w:tabs>
              <w:autoSpaceDE w:val="0"/>
              <w:autoSpaceDN w:val="0"/>
              <w:adjustRightInd w:val="0"/>
              <w:spacing w:after="0" w:line="240" w:lineRule="auto"/>
              <w:ind w:left="0"/>
              <w:jc w:val="both"/>
              <w:rPr>
                <w:rFonts w:ascii="Times New Roman" w:hAnsi="Times New Roman"/>
                <w:b/>
                <w:i/>
                <w:color w:val="000000"/>
                <w:sz w:val="24"/>
                <w:szCs w:val="24"/>
                <w:lang w:eastAsia="ru-RU"/>
              </w:rPr>
            </w:pPr>
            <w:r>
              <w:rPr>
                <w:rFonts w:ascii="Times New Roman" w:hAnsi="Times New Roman"/>
                <w:color w:val="000000"/>
                <w:sz w:val="24"/>
                <w:szCs w:val="24"/>
                <w:lang w:eastAsia="ru-RU"/>
              </w:rPr>
              <w:t>о принадлежности к социально ориентированным некоммерческим организациям</w:t>
            </w:r>
            <w:r>
              <w:rPr>
                <w:rFonts w:ascii="Times New Roman" w:hAnsi="Times New Roman"/>
                <w:b/>
                <w:i/>
                <w:color w:val="000000"/>
                <w:sz w:val="24"/>
                <w:szCs w:val="24"/>
                <w:highlight w:val="yellow"/>
                <w:lang w:eastAsia="ru-RU"/>
              </w:rPr>
              <w:t>(в случае наличия требования, установленного в извещении и в Разделе 1 «Информационная карта» конкурсной документации (закупка производится  только у субъектов малого предпринимательства и социально ориентированных некоммерческих организаций).</w:t>
            </w:r>
          </w:p>
        </w:tc>
      </w:tr>
    </w:tbl>
    <w:p w:rsidR="001D2F4F" w:rsidRDefault="001D2F4F" w:rsidP="006F4F0D">
      <w:pPr>
        <w:pStyle w:val="BodyText2"/>
        <w:spacing w:after="0" w:line="240" w:lineRule="auto"/>
        <w:contextualSpacing/>
        <w:jc w:val="both"/>
        <w:rPr>
          <w:color w:val="000000"/>
        </w:rPr>
      </w:pPr>
    </w:p>
    <w:p w:rsidR="001D2F4F" w:rsidRPr="00546574" w:rsidRDefault="001D2F4F" w:rsidP="006F4F0D">
      <w:pPr>
        <w:pStyle w:val="BodyText2"/>
        <w:spacing w:after="0" w:line="240" w:lineRule="auto"/>
        <w:ind w:firstLine="709"/>
        <w:contextualSpacing/>
        <w:jc w:val="both"/>
        <w:rPr>
          <w:color w:val="000000"/>
        </w:rPr>
      </w:pPr>
      <w:r>
        <w:rPr>
          <w:color w:val="000000"/>
        </w:rPr>
        <w:t>Гарантируем достоверность документов и информации, содержащихся в заявке и выражаем готовность исполнить обязательства по контракту на условиях конкурсной документации.</w:t>
      </w:r>
    </w:p>
    <w:p w:rsidR="001D2F4F" w:rsidRDefault="001D2F4F" w:rsidP="006F4F0D">
      <w:pPr>
        <w:pStyle w:val="BodyText2"/>
        <w:spacing w:after="0" w:line="240" w:lineRule="auto"/>
        <w:contextualSpacing/>
        <w:jc w:val="right"/>
        <w:rPr>
          <w:b/>
          <w:sz w:val="22"/>
          <w:szCs w:val="22"/>
        </w:rPr>
      </w:pPr>
      <w:r>
        <w:rPr>
          <w:b/>
          <w:sz w:val="22"/>
          <w:szCs w:val="22"/>
        </w:rPr>
        <w:t>ТАБЛИЦА 1</w:t>
      </w:r>
    </w:p>
    <w:p w:rsidR="001D2F4F" w:rsidRDefault="001D2F4F" w:rsidP="006F4F0D">
      <w:pPr>
        <w:pStyle w:val="BodyText2"/>
        <w:spacing w:after="0" w:line="240" w:lineRule="auto"/>
        <w:contextualSpacing/>
        <w:jc w:val="both"/>
        <w:rPr>
          <w:b/>
        </w:rPr>
      </w:pPr>
    </w:p>
    <w:p w:rsidR="001D2F4F" w:rsidRDefault="001D2F4F" w:rsidP="006F4F0D">
      <w:pPr>
        <w:pStyle w:val="BodyText2"/>
        <w:spacing w:after="0" w:line="240" w:lineRule="auto"/>
        <w:contextualSpacing/>
        <w:jc w:val="center"/>
        <w:rPr>
          <w:b/>
        </w:rPr>
      </w:pPr>
      <w:r>
        <w:rPr>
          <w:b/>
        </w:rPr>
        <w:t>ПРЕДЛОЖЕНИЕ УЧАСТНИКА В ОТНОШЕНИИ ОБЪЕКТА ЗАКУПКИ</w:t>
      </w:r>
    </w:p>
    <w:tbl>
      <w:tblPr>
        <w:tblW w:w="1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4944"/>
        <w:gridCol w:w="10321"/>
      </w:tblGrid>
      <w:tr w:rsidR="001D2F4F" w:rsidRPr="00930335" w:rsidTr="006F4F0D">
        <w:trPr>
          <w:jc w:val="center"/>
        </w:trPr>
        <w:tc>
          <w:tcPr>
            <w:tcW w:w="642" w:type="dxa"/>
            <w:vAlign w:val="center"/>
          </w:tcPr>
          <w:p w:rsidR="001D2F4F" w:rsidRPr="00930335" w:rsidRDefault="001D2F4F" w:rsidP="007C4748">
            <w:pPr>
              <w:spacing w:after="60"/>
              <w:contextualSpacing/>
              <w:jc w:val="center"/>
              <w:rPr>
                <w:b/>
                <w:bCs/>
              </w:rPr>
            </w:pPr>
            <w:r w:rsidRPr="00930335">
              <w:rPr>
                <w:b/>
                <w:bCs/>
              </w:rPr>
              <w:t>№ п/п</w:t>
            </w:r>
          </w:p>
        </w:tc>
        <w:tc>
          <w:tcPr>
            <w:tcW w:w="4675" w:type="dxa"/>
            <w:vAlign w:val="center"/>
          </w:tcPr>
          <w:p w:rsidR="001D2F4F" w:rsidRPr="00930335" w:rsidRDefault="001D2F4F" w:rsidP="007C4748">
            <w:pPr>
              <w:spacing w:after="60"/>
              <w:contextualSpacing/>
              <w:jc w:val="center"/>
              <w:rPr>
                <w:b/>
                <w:bCs/>
              </w:rPr>
            </w:pPr>
            <w:r w:rsidRPr="00930335">
              <w:rPr>
                <w:b/>
                <w:bCs/>
              </w:rPr>
              <w:t>Раздел</w:t>
            </w:r>
          </w:p>
        </w:tc>
        <w:tc>
          <w:tcPr>
            <w:tcW w:w="9760" w:type="dxa"/>
            <w:vAlign w:val="center"/>
          </w:tcPr>
          <w:p w:rsidR="001D2F4F" w:rsidRPr="00930335" w:rsidRDefault="001D2F4F" w:rsidP="007C4748">
            <w:pPr>
              <w:spacing w:after="60"/>
              <w:contextualSpacing/>
              <w:jc w:val="center"/>
              <w:rPr>
                <w:b/>
                <w:bCs/>
              </w:rPr>
            </w:pPr>
            <w:r w:rsidRPr="00930335">
              <w:rPr>
                <w:b/>
                <w:bCs/>
              </w:rPr>
              <w:t>Информация</w:t>
            </w:r>
          </w:p>
        </w:tc>
      </w:tr>
      <w:tr w:rsidR="001D2F4F" w:rsidRPr="00930335" w:rsidTr="006F4F0D">
        <w:trPr>
          <w:jc w:val="center"/>
        </w:trPr>
        <w:tc>
          <w:tcPr>
            <w:tcW w:w="642" w:type="dxa"/>
            <w:vAlign w:val="center"/>
          </w:tcPr>
          <w:p w:rsidR="001D2F4F" w:rsidRPr="00930335" w:rsidRDefault="001D2F4F" w:rsidP="007C4748">
            <w:pPr>
              <w:spacing w:after="60"/>
              <w:contextualSpacing/>
              <w:jc w:val="center"/>
              <w:rPr>
                <w:b/>
                <w:bCs/>
                <w:highlight w:val="yellow"/>
              </w:rPr>
            </w:pPr>
            <w:r w:rsidRPr="00930335">
              <w:rPr>
                <w:b/>
                <w:bCs/>
              </w:rPr>
              <w:t>1</w:t>
            </w:r>
          </w:p>
        </w:tc>
        <w:tc>
          <w:tcPr>
            <w:tcW w:w="4675" w:type="dxa"/>
            <w:vAlign w:val="center"/>
          </w:tcPr>
          <w:p w:rsidR="001D2F4F" w:rsidRPr="00930335" w:rsidRDefault="001D2F4F" w:rsidP="007C4748">
            <w:pPr>
              <w:spacing w:after="60"/>
              <w:contextualSpacing/>
              <w:rPr>
                <w:b/>
                <w:bCs/>
              </w:rPr>
            </w:pPr>
            <w:r w:rsidRPr="00930335">
              <w:rPr>
                <w:b/>
                <w:bCs/>
              </w:rPr>
              <w:t>Объем работ и затрат, составляющих предмет контракта</w:t>
            </w:r>
          </w:p>
        </w:tc>
        <w:tc>
          <w:tcPr>
            <w:tcW w:w="9760" w:type="dxa"/>
          </w:tcPr>
          <w:p w:rsidR="001D2F4F" w:rsidRPr="00930335" w:rsidRDefault="001D2F4F" w:rsidP="007C4748">
            <w:pPr>
              <w:jc w:val="both"/>
            </w:pPr>
          </w:p>
        </w:tc>
      </w:tr>
      <w:tr w:rsidR="001D2F4F" w:rsidRPr="00930335" w:rsidTr="006F4F0D">
        <w:trPr>
          <w:jc w:val="center"/>
        </w:trPr>
        <w:tc>
          <w:tcPr>
            <w:tcW w:w="642" w:type="dxa"/>
            <w:vAlign w:val="center"/>
          </w:tcPr>
          <w:p w:rsidR="001D2F4F" w:rsidRPr="00930335" w:rsidRDefault="001D2F4F" w:rsidP="007C4748">
            <w:pPr>
              <w:spacing w:after="60"/>
              <w:contextualSpacing/>
              <w:jc w:val="center"/>
              <w:rPr>
                <w:b/>
                <w:bCs/>
              </w:rPr>
            </w:pPr>
            <w:r w:rsidRPr="00930335">
              <w:rPr>
                <w:b/>
                <w:bCs/>
              </w:rPr>
              <w:t>2</w:t>
            </w:r>
          </w:p>
        </w:tc>
        <w:tc>
          <w:tcPr>
            <w:tcW w:w="4675" w:type="dxa"/>
            <w:vAlign w:val="center"/>
          </w:tcPr>
          <w:p w:rsidR="001D2F4F" w:rsidRPr="00930335" w:rsidRDefault="001D2F4F" w:rsidP="007C4748">
            <w:pPr>
              <w:spacing w:after="60"/>
              <w:contextualSpacing/>
              <w:rPr>
                <w:b/>
                <w:bCs/>
              </w:rPr>
            </w:pPr>
            <w:r w:rsidRPr="00930335">
              <w:rPr>
                <w:b/>
                <w:bCs/>
              </w:rPr>
              <w:t>Требования подтверждения, процессов и методов производства в соответствии с требованиями технических регламентов, стандартов, технических условий</w:t>
            </w:r>
          </w:p>
        </w:tc>
        <w:tc>
          <w:tcPr>
            <w:tcW w:w="9760" w:type="dxa"/>
          </w:tcPr>
          <w:p w:rsidR="001D2F4F" w:rsidRPr="00930335" w:rsidRDefault="001D2F4F" w:rsidP="007C4748">
            <w:pPr>
              <w:jc w:val="both"/>
            </w:pPr>
          </w:p>
        </w:tc>
      </w:tr>
      <w:tr w:rsidR="001D2F4F" w:rsidRPr="00930335" w:rsidTr="006F4F0D">
        <w:trPr>
          <w:jc w:val="center"/>
        </w:trPr>
        <w:tc>
          <w:tcPr>
            <w:tcW w:w="642" w:type="dxa"/>
            <w:vAlign w:val="center"/>
          </w:tcPr>
          <w:p w:rsidR="001D2F4F" w:rsidRPr="00930335" w:rsidRDefault="001D2F4F" w:rsidP="007C4748">
            <w:pPr>
              <w:spacing w:after="60"/>
              <w:contextualSpacing/>
              <w:jc w:val="center"/>
              <w:rPr>
                <w:b/>
                <w:bCs/>
              </w:rPr>
            </w:pPr>
            <w:r w:rsidRPr="00930335">
              <w:rPr>
                <w:b/>
                <w:bCs/>
              </w:rPr>
              <w:t>3</w:t>
            </w:r>
          </w:p>
        </w:tc>
        <w:tc>
          <w:tcPr>
            <w:tcW w:w="4675" w:type="dxa"/>
            <w:vAlign w:val="center"/>
          </w:tcPr>
          <w:p w:rsidR="001D2F4F" w:rsidRPr="00930335" w:rsidRDefault="001D2F4F" w:rsidP="007C4748">
            <w:pPr>
              <w:spacing w:after="60"/>
              <w:contextualSpacing/>
              <w:rPr>
                <w:b/>
                <w:bCs/>
              </w:rPr>
            </w:pPr>
            <w:r w:rsidRPr="00930335">
              <w:rPr>
                <w:b/>
                <w:bCs/>
              </w:rPr>
              <w:t>Гарантийный срок и (или) объем предоставления гарантий</w:t>
            </w:r>
          </w:p>
        </w:tc>
        <w:tc>
          <w:tcPr>
            <w:tcW w:w="9760" w:type="dxa"/>
          </w:tcPr>
          <w:p w:rsidR="001D2F4F" w:rsidRPr="00930335" w:rsidRDefault="001D2F4F" w:rsidP="007C4748"/>
        </w:tc>
      </w:tr>
      <w:tr w:rsidR="001D2F4F" w:rsidRPr="00930335" w:rsidTr="006F4F0D">
        <w:trPr>
          <w:jc w:val="center"/>
        </w:trPr>
        <w:tc>
          <w:tcPr>
            <w:tcW w:w="642" w:type="dxa"/>
            <w:vAlign w:val="center"/>
          </w:tcPr>
          <w:p w:rsidR="001D2F4F" w:rsidRPr="00930335" w:rsidRDefault="001D2F4F" w:rsidP="007C4748">
            <w:pPr>
              <w:spacing w:after="60"/>
              <w:contextualSpacing/>
              <w:jc w:val="center"/>
              <w:rPr>
                <w:b/>
                <w:bCs/>
              </w:rPr>
            </w:pPr>
            <w:r w:rsidRPr="00930335">
              <w:rPr>
                <w:b/>
                <w:bCs/>
              </w:rPr>
              <w:t>4</w:t>
            </w:r>
          </w:p>
        </w:tc>
        <w:tc>
          <w:tcPr>
            <w:tcW w:w="4675" w:type="dxa"/>
            <w:vAlign w:val="center"/>
          </w:tcPr>
          <w:p w:rsidR="001D2F4F" w:rsidRPr="00930335" w:rsidRDefault="001D2F4F" w:rsidP="007C4748">
            <w:pPr>
              <w:spacing w:after="60"/>
              <w:contextualSpacing/>
              <w:rPr>
                <w:b/>
                <w:bCs/>
              </w:rPr>
            </w:pPr>
            <w:r w:rsidRPr="00930335">
              <w:rPr>
                <w:b/>
                <w:bCs/>
              </w:rPr>
              <w:t>Иная информация, относящаяся к описанию объекта закупки</w:t>
            </w:r>
          </w:p>
        </w:tc>
        <w:tc>
          <w:tcPr>
            <w:tcW w:w="9760" w:type="dxa"/>
          </w:tcPr>
          <w:p w:rsidR="001D2F4F" w:rsidRPr="00930335" w:rsidRDefault="001D2F4F" w:rsidP="007C4748">
            <w:pPr>
              <w:jc w:val="both"/>
              <w:rPr>
                <w:highlight w:val="yellow"/>
              </w:rPr>
            </w:pPr>
          </w:p>
        </w:tc>
      </w:tr>
    </w:tbl>
    <w:p w:rsidR="001D2F4F" w:rsidRDefault="001D2F4F" w:rsidP="006F4F0D">
      <w:pPr>
        <w:jc w:val="right"/>
        <w:rPr>
          <w:b/>
        </w:rPr>
      </w:pPr>
      <w:r>
        <w:rPr>
          <w:b/>
        </w:rPr>
        <w:br/>
      </w:r>
      <w:r w:rsidRPr="00152570">
        <w:rPr>
          <w:b/>
        </w:rPr>
        <w:t xml:space="preserve">ТАБЛИЦА </w:t>
      </w:r>
      <w:r>
        <w:rPr>
          <w:b/>
        </w:rPr>
        <w:t>2</w:t>
      </w:r>
    </w:p>
    <w:p w:rsidR="001D2F4F" w:rsidRDefault="001D2F4F" w:rsidP="006F4F0D">
      <w:pPr>
        <w:jc w:val="both"/>
        <w:rPr>
          <w:b/>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3095"/>
        <w:gridCol w:w="4941"/>
        <w:gridCol w:w="1531"/>
        <w:gridCol w:w="4702"/>
      </w:tblGrid>
      <w:tr w:rsidR="001D2F4F" w:rsidRPr="00930335" w:rsidTr="00B42F00">
        <w:trPr>
          <w:trHeight w:val="20"/>
        </w:trPr>
        <w:tc>
          <w:tcPr>
            <w:tcW w:w="339" w:type="pct"/>
            <w:vAlign w:val="center"/>
          </w:tcPr>
          <w:p w:rsidR="001D2F4F" w:rsidRPr="00930335" w:rsidRDefault="001D2F4F" w:rsidP="00B42F00">
            <w:pPr>
              <w:jc w:val="both"/>
            </w:pPr>
            <w:r w:rsidRPr="00930335">
              <w:t>№ п/п</w:t>
            </w:r>
          </w:p>
        </w:tc>
        <w:tc>
          <w:tcPr>
            <w:tcW w:w="1011" w:type="pct"/>
            <w:vAlign w:val="center"/>
          </w:tcPr>
          <w:p w:rsidR="001D2F4F" w:rsidRPr="00930335" w:rsidRDefault="001D2F4F" w:rsidP="00B42F00">
            <w:pPr>
              <w:jc w:val="both"/>
            </w:pPr>
            <w:r w:rsidRPr="00930335">
              <w:t>Условия исполнения контракта, являющиеся критерием оценки заявок</w:t>
            </w:r>
          </w:p>
        </w:tc>
        <w:tc>
          <w:tcPr>
            <w:tcW w:w="3650" w:type="pct"/>
            <w:gridSpan w:val="3"/>
            <w:vAlign w:val="center"/>
          </w:tcPr>
          <w:p w:rsidR="001D2F4F" w:rsidRPr="00930335" w:rsidRDefault="001D2F4F" w:rsidP="00B42F00">
            <w:pPr>
              <w:jc w:val="both"/>
            </w:pPr>
            <w:r w:rsidRPr="00930335">
              <w:t>Предложение Участника в отношении условий исполнения контракта, являющихся критерием оценки заявок на участие в конкурсе</w:t>
            </w:r>
          </w:p>
        </w:tc>
      </w:tr>
      <w:tr w:rsidR="001D2F4F" w:rsidRPr="00930335" w:rsidTr="00B42F00">
        <w:trPr>
          <w:trHeight w:val="645"/>
        </w:trPr>
        <w:tc>
          <w:tcPr>
            <w:tcW w:w="339" w:type="pct"/>
          </w:tcPr>
          <w:p w:rsidR="001D2F4F" w:rsidRPr="00930335" w:rsidRDefault="001D2F4F" w:rsidP="00B42F00">
            <w:pPr>
              <w:jc w:val="both"/>
            </w:pPr>
            <w:r w:rsidRPr="00930335">
              <w:t>1</w:t>
            </w:r>
          </w:p>
        </w:tc>
        <w:tc>
          <w:tcPr>
            <w:tcW w:w="1011" w:type="pct"/>
          </w:tcPr>
          <w:p w:rsidR="001D2F4F" w:rsidRPr="00930335" w:rsidRDefault="001D2F4F" w:rsidP="00B42F00">
            <w:pPr>
              <w:autoSpaceDE w:val="0"/>
              <w:autoSpaceDN w:val="0"/>
              <w:adjustRightInd w:val="0"/>
              <w:jc w:val="both"/>
            </w:pPr>
            <w:r w:rsidRPr="00930335">
              <w:rPr>
                <w:bCs/>
              </w:rPr>
              <w:t>Цена контракта, руб.</w:t>
            </w:r>
          </w:p>
        </w:tc>
        <w:tc>
          <w:tcPr>
            <w:tcW w:w="3650" w:type="pct"/>
            <w:gridSpan w:val="3"/>
          </w:tcPr>
          <w:p w:rsidR="001D2F4F" w:rsidRPr="00930335" w:rsidRDefault="001D2F4F" w:rsidP="00B42F00">
            <w:pPr>
              <w:autoSpaceDE w:val="0"/>
              <w:autoSpaceDN w:val="0"/>
              <w:adjustRightInd w:val="0"/>
              <w:jc w:val="center"/>
              <w:rPr>
                <w:highlight w:val="yellow"/>
              </w:rPr>
            </w:pPr>
          </w:p>
          <w:p w:rsidR="001D2F4F" w:rsidRPr="00930335" w:rsidRDefault="001D2F4F" w:rsidP="00B42F00">
            <w:pPr>
              <w:autoSpaceDE w:val="0"/>
              <w:autoSpaceDN w:val="0"/>
              <w:adjustRightInd w:val="0"/>
              <w:jc w:val="center"/>
            </w:pPr>
            <w:r w:rsidRPr="00930335">
              <w:rPr>
                <w:highlight w:val="yellow"/>
              </w:rPr>
              <w:t>_______________________________________</w:t>
            </w:r>
          </w:p>
          <w:p w:rsidR="001D2F4F" w:rsidRPr="00930335" w:rsidRDefault="001D2F4F" w:rsidP="00B42F00">
            <w:pPr>
              <w:spacing w:after="120"/>
              <w:ind w:left="6"/>
              <w:contextualSpacing/>
              <w:jc w:val="both"/>
            </w:pPr>
            <w:r w:rsidRPr="00930335">
              <w:t>В предлагаемой цене контракта нами учтены все затраты, необходимые для исполнения контракта в соответствии с объемами, условиями конкурсной документации и обязательными платежами, предусмотренными  законодательством Российской  Федерации.</w:t>
            </w:r>
          </w:p>
        </w:tc>
      </w:tr>
      <w:tr w:rsidR="001D2F4F" w:rsidRPr="00930335" w:rsidTr="00B42F00">
        <w:trPr>
          <w:trHeight w:val="253"/>
        </w:trPr>
        <w:tc>
          <w:tcPr>
            <w:tcW w:w="339" w:type="pct"/>
          </w:tcPr>
          <w:p w:rsidR="001D2F4F" w:rsidRPr="00930335" w:rsidRDefault="001D2F4F" w:rsidP="00B42F00">
            <w:pPr>
              <w:jc w:val="both"/>
            </w:pPr>
            <w:r w:rsidRPr="00930335">
              <w:t>2</w:t>
            </w:r>
          </w:p>
        </w:tc>
        <w:tc>
          <w:tcPr>
            <w:tcW w:w="1011" w:type="pct"/>
          </w:tcPr>
          <w:p w:rsidR="001D2F4F" w:rsidRPr="00930335" w:rsidRDefault="001D2F4F" w:rsidP="00B42F00">
            <w:pPr>
              <w:autoSpaceDE w:val="0"/>
              <w:autoSpaceDN w:val="0"/>
              <w:adjustRightInd w:val="0"/>
              <w:jc w:val="center"/>
              <w:rPr>
                <w:bCs/>
              </w:rPr>
            </w:pPr>
            <w:r w:rsidRPr="00930335">
              <w:t>Квалификация</w:t>
            </w:r>
            <w:r w:rsidRPr="00930335">
              <w:rPr>
                <w:bCs/>
              </w:rPr>
              <w:t xml:space="preserve"> участника</w:t>
            </w:r>
          </w:p>
          <w:p w:rsidR="001D2F4F" w:rsidRPr="00930335" w:rsidRDefault="001D2F4F" w:rsidP="00B42F00">
            <w:pPr>
              <w:autoSpaceDE w:val="0"/>
              <w:autoSpaceDN w:val="0"/>
              <w:adjustRightInd w:val="0"/>
              <w:jc w:val="center"/>
              <w:rPr>
                <w:bCs/>
              </w:rPr>
            </w:pPr>
          </w:p>
        </w:tc>
        <w:tc>
          <w:tcPr>
            <w:tcW w:w="1614" w:type="pct"/>
            <w:vMerge w:val="restart"/>
            <w:vAlign w:val="center"/>
          </w:tcPr>
          <w:p w:rsidR="001D2F4F" w:rsidRPr="00930335" w:rsidRDefault="001D2F4F" w:rsidP="00B42F00">
            <w:pPr>
              <w:jc w:val="center"/>
            </w:pPr>
            <w:r w:rsidRPr="00930335">
              <w:t>Наименование</w:t>
            </w:r>
          </w:p>
        </w:tc>
        <w:tc>
          <w:tcPr>
            <w:tcW w:w="500" w:type="pct"/>
          </w:tcPr>
          <w:p w:rsidR="001D2F4F" w:rsidRPr="00930335" w:rsidRDefault="001D2F4F" w:rsidP="00B42F00">
            <w:pPr>
              <w:jc w:val="center"/>
            </w:pPr>
            <w:r w:rsidRPr="00930335">
              <w:t>Наличие</w:t>
            </w:r>
          </w:p>
        </w:tc>
        <w:tc>
          <w:tcPr>
            <w:tcW w:w="1536" w:type="pct"/>
            <w:vMerge w:val="restart"/>
          </w:tcPr>
          <w:p w:rsidR="001D2F4F" w:rsidRPr="00930335" w:rsidRDefault="001D2F4F" w:rsidP="00B42F00">
            <w:pPr>
              <w:autoSpaceDE w:val="0"/>
              <w:autoSpaceDN w:val="0"/>
              <w:adjustRightInd w:val="0"/>
              <w:jc w:val="center"/>
              <w:rPr>
                <w:i/>
              </w:rPr>
            </w:pPr>
            <w:r w:rsidRPr="00930335">
              <w:rPr>
                <w:bCs/>
              </w:rPr>
              <w:t>Документы, подтверждающие квалификацию участника</w:t>
            </w:r>
          </w:p>
        </w:tc>
      </w:tr>
      <w:tr w:rsidR="001D2F4F" w:rsidRPr="00930335" w:rsidTr="00B42F00">
        <w:trPr>
          <w:trHeight w:val="47"/>
        </w:trPr>
        <w:tc>
          <w:tcPr>
            <w:tcW w:w="339" w:type="pct"/>
            <w:vMerge w:val="restart"/>
            <w:vAlign w:val="center"/>
          </w:tcPr>
          <w:p w:rsidR="001D2F4F" w:rsidRPr="00930335" w:rsidRDefault="001D2F4F" w:rsidP="00B42F00">
            <w:pPr>
              <w:jc w:val="both"/>
            </w:pPr>
            <w:r w:rsidRPr="00930335">
              <w:t>2.1.</w:t>
            </w:r>
          </w:p>
        </w:tc>
        <w:tc>
          <w:tcPr>
            <w:tcW w:w="1011" w:type="pct"/>
            <w:vMerge w:val="restart"/>
          </w:tcPr>
          <w:p w:rsidR="001D2F4F" w:rsidRPr="00930335" w:rsidRDefault="001D2F4F" w:rsidP="00B42F00">
            <w:pPr>
              <w:autoSpaceDE w:val="0"/>
              <w:autoSpaceDN w:val="0"/>
              <w:adjustRightInd w:val="0"/>
              <w:jc w:val="both"/>
            </w:pPr>
            <w:r w:rsidRPr="00930335">
              <w:t>Опыт работы участника</w:t>
            </w:r>
          </w:p>
        </w:tc>
        <w:tc>
          <w:tcPr>
            <w:tcW w:w="0" w:type="auto"/>
            <w:vMerge/>
            <w:vAlign w:val="center"/>
          </w:tcPr>
          <w:p w:rsidR="001D2F4F" w:rsidRPr="00930335" w:rsidRDefault="001D2F4F" w:rsidP="00B42F00">
            <w:pPr>
              <w:autoSpaceDE w:val="0"/>
              <w:autoSpaceDN w:val="0"/>
              <w:adjustRightInd w:val="0"/>
              <w:jc w:val="both"/>
            </w:pPr>
          </w:p>
        </w:tc>
        <w:tc>
          <w:tcPr>
            <w:tcW w:w="500" w:type="pct"/>
          </w:tcPr>
          <w:p w:rsidR="001D2F4F" w:rsidRPr="00930335" w:rsidRDefault="001D2F4F" w:rsidP="00B42F00">
            <w:pPr>
              <w:jc w:val="center"/>
            </w:pPr>
            <w:r w:rsidRPr="00930335">
              <w:t>Количество, шт.</w:t>
            </w:r>
          </w:p>
        </w:tc>
        <w:tc>
          <w:tcPr>
            <w:tcW w:w="0" w:type="auto"/>
            <w:vMerge/>
            <w:vAlign w:val="center"/>
          </w:tcPr>
          <w:p w:rsidR="001D2F4F" w:rsidRPr="00930335" w:rsidRDefault="001D2F4F" w:rsidP="00B42F00">
            <w:pPr>
              <w:rPr>
                <w:i/>
              </w:rPr>
            </w:pPr>
          </w:p>
        </w:tc>
      </w:tr>
      <w:tr w:rsidR="001D2F4F" w:rsidRPr="00930335" w:rsidTr="00B42F00">
        <w:trPr>
          <w:trHeight w:val="132"/>
        </w:trPr>
        <w:tc>
          <w:tcPr>
            <w:tcW w:w="0" w:type="auto"/>
            <w:vMerge/>
            <w:vAlign w:val="center"/>
          </w:tcPr>
          <w:p w:rsidR="001D2F4F" w:rsidRPr="00930335" w:rsidRDefault="001D2F4F" w:rsidP="00B42F00"/>
        </w:tc>
        <w:tc>
          <w:tcPr>
            <w:tcW w:w="0" w:type="auto"/>
            <w:vMerge/>
            <w:vAlign w:val="center"/>
          </w:tcPr>
          <w:p w:rsidR="001D2F4F" w:rsidRPr="00930335" w:rsidRDefault="001D2F4F" w:rsidP="00B42F00">
            <w:pPr>
              <w:autoSpaceDE w:val="0"/>
              <w:autoSpaceDN w:val="0"/>
              <w:adjustRightInd w:val="0"/>
              <w:jc w:val="both"/>
            </w:pPr>
          </w:p>
        </w:tc>
        <w:tc>
          <w:tcPr>
            <w:tcW w:w="1614" w:type="pct"/>
          </w:tcPr>
          <w:p w:rsidR="001D2F4F" w:rsidRPr="004C2FA8" w:rsidRDefault="001D2F4F" w:rsidP="00B42F00">
            <w:pPr>
              <w:autoSpaceDE w:val="0"/>
              <w:autoSpaceDN w:val="0"/>
              <w:adjustRightInd w:val="0"/>
              <w:jc w:val="both"/>
            </w:pPr>
            <w:r w:rsidRPr="004C2FA8">
              <w:t>Количество исполненных контрактов и/или договоров (за исключением договоров субподряда) на выполнение   инженерных изысканий и разработке проектно-сметной документации на объекты строительства и реконструкции объектов капитального строительства за последние  5 лет, предшествующие дате окончания срока подачи заявок  на  участие в конкурсе со  стоимостью работ по каждому  контракту и (или) договору  не менее 1,0 млн.руб.</w:t>
            </w:r>
            <w:r>
              <w:t>.</w:t>
            </w:r>
          </w:p>
        </w:tc>
        <w:tc>
          <w:tcPr>
            <w:tcW w:w="500" w:type="pct"/>
            <w:vAlign w:val="center"/>
          </w:tcPr>
          <w:p w:rsidR="001D2F4F" w:rsidRPr="00930335" w:rsidRDefault="001D2F4F" w:rsidP="00B42F00">
            <w:pPr>
              <w:jc w:val="both"/>
            </w:pPr>
            <w:r w:rsidRPr="00930335">
              <w:rPr>
                <w:highlight w:val="yellow"/>
              </w:rPr>
              <w:t>______</w:t>
            </w:r>
          </w:p>
        </w:tc>
        <w:tc>
          <w:tcPr>
            <w:tcW w:w="1536" w:type="pct"/>
          </w:tcPr>
          <w:p w:rsidR="001D2F4F" w:rsidRPr="004C2FA8" w:rsidRDefault="001D2F4F" w:rsidP="00B42F00">
            <w:pPr>
              <w:tabs>
                <w:tab w:val="left" w:pos="0"/>
              </w:tabs>
              <w:spacing w:after="60"/>
              <w:rPr>
                <w:color w:val="000000"/>
                <w:spacing w:val="-4"/>
              </w:rPr>
            </w:pPr>
            <w:r w:rsidRPr="004C2FA8">
              <w:rPr>
                <w:color w:val="000000"/>
                <w:spacing w:val="-4"/>
              </w:rPr>
              <w:t>-Копии исполненных контрактов и/или договоров за 5 лет до даты окончания срока подачи заявок на участие в закупке</w:t>
            </w:r>
            <w:r w:rsidRPr="004C2FA8">
              <w:rPr>
                <w:bCs/>
                <w:iCs/>
              </w:rPr>
              <w:t>.</w:t>
            </w:r>
          </w:p>
          <w:p w:rsidR="001D2F4F" w:rsidRPr="004C2FA8" w:rsidRDefault="001D2F4F" w:rsidP="00B42F00">
            <w:pPr>
              <w:tabs>
                <w:tab w:val="left" w:pos="0"/>
              </w:tabs>
              <w:spacing w:after="60"/>
              <w:rPr>
                <w:color w:val="000000"/>
                <w:spacing w:val="-4"/>
              </w:rPr>
            </w:pPr>
            <w:r w:rsidRPr="004C2FA8">
              <w:rPr>
                <w:color w:val="000000"/>
                <w:spacing w:val="-4"/>
              </w:rPr>
              <w:t xml:space="preserve">- Копии акта(ов) приемки выполненных работ, подтверждающих выполнение работ по предоставленным копиям контрактов за 5 лет до даты окончания срока подачи заявок на участие в закупке. </w:t>
            </w:r>
          </w:p>
          <w:p w:rsidR="001D2F4F" w:rsidRPr="004C2FA8" w:rsidRDefault="001D2F4F" w:rsidP="00B42F00">
            <w:pPr>
              <w:tabs>
                <w:tab w:val="left" w:pos="0"/>
              </w:tabs>
              <w:spacing w:after="60"/>
              <w:rPr>
                <w:color w:val="000000"/>
                <w:spacing w:val="-4"/>
              </w:rPr>
            </w:pPr>
            <w:r w:rsidRPr="004C2FA8">
              <w:rPr>
                <w:color w:val="000000"/>
                <w:spacing w:val="-4"/>
              </w:rPr>
              <w:t xml:space="preserve">- Копии положительного заключения государственной экспертизы </w:t>
            </w:r>
            <w:r w:rsidRPr="004C2FA8">
              <w:t xml:space="preserve">по разработке проектной документации, по каждому контракту </w:t>
            </w:r>
            <w:r w:rsidRPr="004C2FA8">
              <w:rPr>
                <w:color w:val="000000"/>
                <w:spacing w:val="-4"/>
              </w:rPr>
              <w:t>за 5 лет до даты окончания срока подачи заявок на участие в закупке.</w:t>
            </w:r>
          </w:p>
          <w:p w:rsidR="001D2F4F" w:rsidRPr="004C2FA8" w:rsidRDefault="001D2F4F" w:rsidP="00B42F00">
            <w:pPr>
              <w:tabs>
                <w:tab w:val="left" w:pos="0"/>
              </w:tabs>
              <w:spacing w:after="60"/>
              <w:rPr>
                <w:i/>
              </w:rPr>
            </w:pPr>
          </w:p>
          <w:p w:rsidR="001D2F4F" w:rsidRPr="004C2FA8" w:rsidRDefault="001D2F4F" w:rsidP="00B42F00">
            <w:pPr>
              <w:tabs>
                <w:tab w:val="left" w:pos="0"/>
              </w:tabs>
              <w:spacing w:after="60"/>
              <w:rPr>
                <w:color w:val="000000"/>
                <w:spacing w:val="-4"/>
              </w:rPr>
            </w:pPr>
            <w:r w:rsidRPr="004C2FA8">
              <w:rPr>
                <w:i/>
              </w:rPr>
              <w:t xml:space="preserve">Документы содержатся с </w:t>
            </w:r>
            <w:r w:rsidRPr="004C2FA8">
              <w:rPr>
                <w:i/>
                <w:highlight w:val="yellow"/>
              </w:rPr>
              <w:t>_______</w:t>
            </w:r>
            <w:r w:rsidRPr="004C2FA8">
              <w:rPr>
                <w:i/>
              </w:rPr>
              <w:t xml:space="preserve"> по </w:t>
            </w:r>
            <w:r w:rsidRPr="004C2FA8">
              <w:rPr>
                <w:i/>
                <w:highlight w:val="yellow"/>
              </w:rPr>
              <w:t>_________</w:t>
            </w:r>
            <w:r w:rsidRPr="004C2FA8">
              <w:rPr>
                <w:i/>
              </w:rPr>
              <w:t xml:space="preserve"> лист согласно Описи документов</w:t>
            </w:r>
          </w:p>
        </w:tc>
      </w:tr>
      <w:tr w:rsidR="001D2F4F" w:rsidRPr="00930335" w:rsidTr="00B42F00">
        <w:trPr>
          <w:trHeight w:val="132"/>
        </w:trPr>
        <w:tc>
          <w:tcPr>
            <w:tcW w:w="0" w:type="auto"/>
            <w:vAlign w:val="center"/>
          </w:tcPr>
          <w:p w:rsidR="001D2F4F" w:rsidRPr="00930335" w:rsidRDefault="001D2F4F" w:rsidP="00B42F00">
            <w:r w:rsidRPr="00930335">
              <w:t>2.2.</w:t>
            </w:r>
          </w:p>
        </w:tc>
        <w:tc>
          <w:tcPr>
            <w:tcW w:w="0" w:type="auto"/>
            <w:vAlign w:val="center"/>
          </w:tcPr>
          <w:p w:rsidR="001D2F4F" w:rsidRPr="00930335" w:rsidRDefault="001D2F4F" w:rsidP="00B42F00">
            <w:pPr>
              <w:autoSpaceDE w:val="0"/>
              <w:autoSpaceDN w:val="0"/>
              <w:adjustRightInd w:val="0"/>
              <w:jc w:val="both"/>
            </w:pPr>
            <w:r w:rsidRPr="00930335">
              <w:t>Квалификация трудовых ресурсов предлагаемых для выполнения работ</w:t>
            </w:r>
          </w:p>
        </w:tc>
        <w:tc>
          <w:tcPr>
            <w:tcW w:w="1614" w:type="pct"/>
          </w:tcPr>
          <w:p w:rsidR="001D2F4F" w:rsidRPr="00930335" w:rsidRDefault="001D2F4F" w:rsidP="00B42F00">
            <w:pPr>
              <w:autoSpaceDE w:val="0"/>
              <w:autoSpaceDN w:val="0"/>
              <w:adjustRightInd w:val="0"/>
              <w:jc w:val="both"/>
              <w:rPr>
                <w:color w:val="000000"/>
                <w:spacing w:val="-4"/>
              </w:rPr>
            </w:pPr>
            <w:r w:rsidRPr="00930335">
              <w:rPr>
                <w:color w:val="000000"/>
                <w:spacing w:val="-4"/>
              </w:rPr>
              <w:t xml:space="preserve">Количество трудовых ресурсов имеющих опыт работы по специальности не менее </w:t>
            </w:r>
            <w:r>
              <w:rPr>
                <w:color w:val="000000"/>
                <w:spacing w:val="-4"/>
              </w:rPr>
              <w:t>10</w:t>
            </w:r>
            <w:r w:rsidRPr="00930335">
              <w:rPr>
                <w:color w:val="000000"/>
                <w:spacing w:val="-4"/>
              </w:rPr>
              <w:t xml:space="preserve"> (</w:t>
            </w:r>
            <w:r>
              <w:rPr>
                <w:color w:val="000000"/>
                <w:spacing w:val="-4"/>
              </w:rPr>
              <w:t>десяти</w:t>
            </w:r>
            <w:r w:rsidRPr="00930335">
              <w:rPr>
                <w:color w:val="000000"/>
                <w:spacing w:val="-4"/>
              </w:rPr>
              <w:t xml:space="preserve">) лет, находящихся в штате участника закупки, имеющих высшее образование по следующим специальностям: </w:t>
            </w:r>
          </w:p>
          <w:p w:rsidR="001D2F4F" w:rsidRPr="00930335" w:rsidRDefault="001D2F4F" w:rsidP="00B42F00">
            <w:pPr>
              <w:autoSpaceDE w:val="0"/>
              <w:autoSpaceDN w:val="0"/>
              <w:adjustRightInd w:val="0"/>
              <w:jc w:val="both"/>
              <w:rPr>
                <w:color w:val="000000"/>
                <w:spacing w:val="-4"/>
              </w:rPr>
            </w:pPr>
            <w:r w:rsidRPr="00930335">
              <w:rPr>
                <w:color w:val="000000"/>
                <w:spacing w:val="-4"/>
              </w:rPr>
              <w:t>- городское строительство и хозяйство;</w:t>
            </w:r>
          </w:p>
          <w:p w:rsidR="001D2F4F" w:rsidRPr="00930335" w:rsidRDefault="001D2F4F" w:rsidP="00B42F00">
            <w:pPr>
              <w:autoSpaceDE w:val="0"/>
              <w:autoSpaceDN w:val="0"/>
              <w:adjustRightInd w:val="0"/>
              <w:jc w:val="both"/>
              <w:rPr>
                <w:color w:val="000000"/>
                <w:spacing w:val="-4"/>
              </w:rPr>
            </w:pPr>
            <w:r w:rsidRPr="00930335">
              <w:rPr>
                <w:color w:val="000000"/>
                <w:spacing w:val="-4"/>
              </w:rPr>
              <w:t xml:space="preserve">- проектирование зданий, </w:t>
            </w:r>
          </w:p>
          <w:p w:rsidR="001D2F4F" w:rsidRPr="00930335" w:rsidRDefault="001D2F4F" w:rsidP="00B42F00">
            <w:pPr>
              <w:autoSpaceDE w:val="0"/>
              <w:autoSpaceDN w:val="0"/>
              <w:adjustRightInd w:val="0"/>
              <w:jc w:val="both"/>
              <w:rPr>
                <w:color w:val="000000"/>
                <w:spacing w:val="-4"/>
              </w:rPr>
            </w:pPr>
            <w:r w:rsidRPr="00930335">
              <w:rPr>
                <w:color w:val="000000"/>
                <w:spacing w:val="-4"/>
              </w:rPr>
              <w:t>- промышленное и гражданское строительство;</w:t>
            </w:r>
          </w:p>
          <w:p w:rsidR="001D2F4F" w:rsidRPr="00930335" w:rsidRDefault="001D2F4F" w:rsidP="00B42F00">
            <w:pPr>
              <w:autoSpaceDE w:val="0"/>
              <w:autoSpaceDN w:val="0"/>
              <w:adjustRightInd w:val="0"/>
              <w:jc w:val="both"/>
              <w:rPr>
                <w:color w:val="000000"/>
                <w:spacing w:val="-4"/>
              </w:rPr>
            </w:pPr>
            <w:r w:rsidRPr="00930335">
              <w:rPr>
                <w:color w:val="000000"/>
                <w:spacing w:val="-4"/>
              </w:rPr>
              <w:t>- строительство зданий и сооружений;</w:t>
            </w:r>
          </w:p>
          <w:p w:rsidR="001D2F4F" w:rsidRDefault="001D2F4F" w:rsidP="00B42F00">
            <w:pPr>
              <w:autoSpaceDE w:val="0"/>
              <w:autoSpaceDN w:val="0"/>
              <w:adjustRightInd w:val="0"/>
              <w:jc w:val="both"/>
              <w:rPr>
                <w:color w:val="000000"/>
                <w:spacing w:val="-4"/>
              </w:rPr>
            </w:pPr>
            <w:r w:rsidRPr="00930335">
              <w:rPr>
                <w:color w:val="000000"/>
                <w:spacing w:val="-4"/>
              </w:rPr>
              <w:t xml:space="preserve">- </w:t>
            </w:r>
            <w:r>
              <w:rPr>
                <w:color w:val="000000"/>
                <w:spacing w:val="-4"/>
              </w:rPr>
              <w:t>теплогазоснабжение и вентиляция;</w:t>
            </w:r>
          </w:p>
          <w:p w:rsidR="001D2F4F" w:rsidRDefault="001D2F4F" w:rsidP="00B42F00">
            <w:r>
              <w:t>- тепловые электростанции;</w:t>
            </w:r>
          </w:p>
          <w:p w:rsidR="001D2F4F" w:rsidRPr="00930335" w:rsidRDefault="001D2F4F" w:rsidP="00B42F00">
            <w:pPr>
              <w:autoSpaceDE w:val="0"/>
              <w:autoSpaceDN w:val="0"/>
              <w:adjustRightInd w:val="0"/>
              <w:jc w:val="both"/>
              <w:rPr>
                <w:color w:val="000000"/>
                <w:spacing w:val="-4"/>
              </w:rPr>
            </w:pPr>
            <w:r>
              <w:t>- промышленное теплоснабжение.</w:t>
            </w:r>
          </w:p>
        </w:tc>
        <w:tc>
          <w:tcPr>
            <w:tcW w:w="500" w:type="pct"/>
            <w:vAlign w:val="center"/>
          </w:tcPr>
          <w:p w:rsidR="001D2F4F" w:rsidRPr="00930335" w:rsidRDefault="001D2F4F" w:rsidP="00B42F00">
            <w:pPr>
              <w:jc w:val="both"/>
            </w:pPr>
            <w:r w:rsidRPr="00930335">
              <w:rPr>
                <w:highlight w:val="yellow"/>
              </w:rPr>
              <w:t>______</w:t>
            </w:r>
          </w:p>
        </w:tc>
        <w:tc>
          <w:tcPr>
            <w:tcW w:w="1536" w:type="pct"/>
          </w:tcPr>
          <w:p w:rsidR="001D2F4F" w:rsidRPr="00930335" w:rsidRDefault="001D2F4F" w:rsidP="00B42F00">
            <w:pPr>
              <w:rPr>
                <w:color w:val="000000"/>
                <w:spacing w:val="-4"/>
              </w:rPr>
            </w:pPr>
            <w:r w:rsidRPr="00930335">
              <w:rPr>
                <w:color w:val="000000"/>
                <w:spacing w:val="-4"/>
              </w:rPr>
              <w:t>Копии дипломов, подтверждающие высшее образование.</w:t>
            </w:r>
          </w:p>
          <w:p w:rsidR="001D2F4F" w:rsidRPr="00930335" w:rsidRDefault="001D2F4F" w:rsidP="00B42F00">
            <w:pPr>
              <w:rPr>
                <w:color w:val="000000"/>
                <w:spacing w:val="-4"/>
              </w:rPr>
            </w:pPr>
            <w:r w:rsidRPr="00930335">
              <w:rPr>
                <w:color w:val="000000"/>
                <w:spacing w:val="-4"/>
              </w:rPr>
              <w:t xml:space="preserve">Копии трудовых книжек или копии трудовых договоров, подтверждающих наличие специалистов в штате организации с требуемым уровнем квалификации и опытом работы по специальности не менее </w:t>
            </w:r>
            <w:r>
              <w:rPr>
                <w:color w:val="000000"/>
                <w:spacing w:val="-4"/>
              </w:rPr>
              <w:t>10</w:t>
            </w:r>
            <w:r w:rsidRPr="00930335">
              <w:rPr>
                <w:color w:val="000000"/>
                <w:spacing w:val="-4"/>
              </w:rPr>
              <w:t xml:space="preserve"> (</w:t>
            </w:r>
            <w:r>
              <w:rPr>
                <w:color w:val="000000"/>
                <w:spacing w:val="-4"/>
              </w:rPr>
              <w:t>десять</w:t>
            </w:r>
            <w:r w:rsidRPr="00930335">
              <w:rPr>
                <w:color w:val="000000"/>
                <w:spacing w:val="-4"/>
              </w:rPr>
              <w:t>) лет.</w:t>
            </w:r>
          </w:p>
          <w:p w:rsidR="001D2F4F" w:rsidRPr="00930335" w:rsidRDefault="001D2F4F" w:rsidP="00B42F00">
            <w:pPr>
              <w:rPr>
                <w:color w:val="000000"/>
                <w:spacing w:val="-4"/>
              </w:rPr>
            </w:pPr>
            <w:r w:rsidRPr="00930335">
              <w:rPr>
                <w:i/>
              </w:rPr>
              <w:t xml:space="preserve">Документы содержатся с </w:t>
            </w:r>
            <w:r w:rsidRPr="00930335">
              <w:rPr>
                <w:i/>
                <w:highlight w:val="yellow"/>
              </w:rPr>
              <w:t>_______</w:t>
            </w:r>
            <w:r w:rsidRPr="00930335">
              <w:rPr>
                <w:i/>
              </w:rPr>
              <w:t xml:space="preserve"> по </w:t>
            </w:r>
            <w:r w:rsidRPr="00930335">
              <w:rPr>
                <w:i/>
                <w:highlight w:val="yellow"/>
              </w:rPr>
              <w:t>_________</w:t>
            </w:r>
            <w:r w:rsidRPr="00930335">
              <w:rPr>
                <w:i/>
              </w:rPr>
              <w:t xml:space="preserve"> лист согласно Описи документов</w:t>
            </w:r>
          </w:p>
        </w:tc>
      </w:tr>
      <w:tr w:rsidR="001D2F4F" w:rsidRPr="00930335" w:rsidTr="00B42F00">
        <w:trPr>
          <w:trHeight w:val="132"/>
        </w:trPr>
        <w:tc>
          <w:tcPr>
            <w:tcW w:w="0" w:type="auto"/>
            <w:vMerge w:val="restart"/>
            <w:vAlign w:val="center"/>
          </w:tcPr>
          <w:p w:rsidR="001D2F4F" w:rsidRPr="00930335" w:rsidRDefault="001D2F4F" w:rsidP="00B42F00">
            <w:r w:rsidRPr="00930335">
              <w:t>2.3.</w:t>
            </w:r>
          </w:p>
        </w:tc>
        <w:tc>
          <w:tcPr>
            <w:tcW w:w="0" w:type="auto"/>
            <w:vMerge w:val="restart"/>
            <w:vAlign w:val="center"/>
          </w:tcPr>
          <w:p w:rsidR="001D2F4F" w:rsidRPr="00930335" w:rsidRDefault="001D2F4F" w:rsidP="00B42F00">
            <w:pPr>
              <w:autoSpaceDE w:val="0"/>
              <w:autoSpaceDN w:val="0"/>
              <w:adjustRightInd w:val="0"/>
              <w:jc w:val="both"/>
            </w:pPr>
            <w:r w:rsidRPr="00930335">
              <w:t>Деловая репутация участника</w:t>
            </w:r>
          </w:p>
        </w:tc>
        <w:tc>
          <w:tcPr>
            <w:tcW w:w="1614" w:type="pct"/>
          </w:tcPr>
          <w:p w:rsidR="001D2F4F" w:rsidRPr="00B77323" w:rsidRDefault="001D2F4F" w:rsidP="00B42F00">
            <w:pPr>
              <w:pStyle w:val="ConsPlusNormal"/>
              <w:rPr>
                <w:rFonts w:ascii="Times New Roman" w:hAnsi="Times New Roman"/>
                <w:sz w:val="24"/>
                <w:szCs w:val="24"/>
              </w:rPr>
            </w:pPr>
            <w:r w:rsidRPr="00B77323">
              <w:rPr>
                <w:rFonts w:ascii="Times New Roman" w:hAnsi="Times New Roman"/>
                <w:color w:val="000000"/>
                <w:spacing w:val="-4"/>
                <w:sz w:val="24"/>
                <w:szCs w:val="24"/>
              </w:rPr>
              <w:t>- Наличие действующего сертификата соответствия системы менеджмента качества применительно к основным видам работ по договору, требование национальных стандартов ГОСТ</w:t>
            </w:r>
            <w:r w:rsidRPr="00B77323">
              <w:rPr>
                <w:rFonts w:ascii="Times New Roman" w:hAnsi="Times New Roman"/>
                <w:sz w:val="24"/>
                <w:szCs w:val="24"/>
              </w:rPr>
              <w:t xml:space="preserve"> Р ИСО 9001-2015 (ISO 9001:2015)</w:t>
            </w:r>
          </w:p>
        </w:tc>
        <w:tc>
          <w:tcPr>
            <w:tcW w:w="500" w:type="pct"/>
            <w:vAlign w:val="center"/>
          </w:tcPr>
          <w:p w:rsidR="001D2F4F" w:rsidRPr="00930335" w:rsidRDefault="001D2F4F" w:rsidP="00B42F00">
            <w:pPr>
              <w:jc w:val="center"/>
            </w:pPr>
            <w:r w:rsidRPr="00930335">
              <w:rPr>
                <w:highlight w:val="yellow"/>
              </w:rPr>
              <w:t>______</w:t>
            </w:r>
          </w:p>
        </w:tc>
        <w:tc>
          <w:tcPr>
            <w:tcW w:w="1536" w:type="pct"/>
          </w:tcPr>
          <w:p w:rsidR="001D2F4F" w:rsidRPr="00AE1D39" w:rsidRDefault="001D2F4F" w:rsidP="00B42F00">
            <w:pPr>
              <w:pStyle w:val="ConsPlusNormal"/>
              <w:rPr>
                <w:rFonts w:ascii="Times New Roman" w:hAnsi="Times New Roman"/>
                <w:sz w:val="24"/>
                <w:szCs w:val="24"/>
              </w:rPr>
            </w:pPr>
            <w:r w:rsidRPr="00AE1D39">
              <w:rPr>
                <w:rFonts w:ascii="Times New Roman" w:hAnsi="Times New Roman"/>
                <w:sz w:val="24"/>
                <w:szCs w:val="24"/>
              </w:rPr>
              <w:t>- Копия  действующего сертификата, подтверждающего соответствие системы менеджмента качества, требованиям ГОСТ Р ИСО 9001-2015 (или ГОСТ ISO 9001-2015)</w:t>
            </w:r>
          </w:p>
          <w:p w:rsidR="001D2F4F" w:rsidRPr="00AE1D39" w:rsidRDefault="001D2F4F" w:rsidP="00B42F00">
            <w:pPr>
              <w:rPr>
                <w:i/>
              </w:rPr>
            </w:pPr>
          </w:p>
          <w:p w:rsidR="001D2F4F" w:rsidRPr="00AE1D39" w:rsidRDefault="001D2F4F" w:rsidP="00B42F00">
            <w:pPr>
              <w:rPr>
                <w:color w:val="000000"/>
                <w:spacing w:val="-4"/>
              </w:rPr>
            </w:pPr>
            <w:r w:rsidRPr="00AE1D39">
              <w:rPr>
                <w:i/>
              </w:rPr>
              <w:t xml:space="preserve">Документы содержатся с </w:t>
            </w:r>
            <w:r w:rsidRPr="00AE1D39">
              <w:rPr>
                <w:i/>
                <w:highlight w:val="yellow"/>
              </w:rPr>
              <w:t>_______</w:t>
            </w:r>
            <w:r w:rsidRPr="00AE1D39">
              <w:rPr>
                <w:i/>
              </w:rPr>
              <w:t xml:space="preserve"> по </w:t>
            </w:r>
            <w:r w:rsidRPr="00AE1D39">
              <w:rPr>
                <w:i/>
                <w:highlight w:val="yellow"/>
              </w:rPr>
              <w:t>_________</w:t>
            </w:r>
            <w:r w:rsidRPr="00AE1D39">
              <w:rPr>
                <w:i/>
              </w:rPr>
              <w:t xml:space="preserve"> лист согласно Описи документов</w:t>
            </w:r>
          </w:p>
        </w:tc>
      </w:tr>
      <w:tr w:rsidR="001D2F4F" w:rsidRPr="00930335" w:rsidTr="00B42F00">
        <w:trPr>
          <w:trHeight w:val="132"/>
        </w:trPr>
        <w:tc>
          <w:tcPr>
            <w:tcW w:w="0" w:type="auto"/>
            <w:vMerge/>
            <w:vAlign w:val="center"/>
          </w:tcPr>
          <w:p w:rsidR="001D2F4F" w:rsidRPr="00930335" w:rsidRDefault="001D2F4F" w:rsidP="00B42F00"/>
        </w:tc>
        <w:tc>
          <w:tcPr>
            <w:tcW w:w="0" w:type="auto"/>
            <w:vMerge/>
            <w:vAlign w:val="center"/>
          </w:tcPr>
          <w:p w:rsidR="001D2F4F" w:rsidRPr="00930335" w:rsidRDefault="001D2F4F" w:rsidP="00B42F00">
            <w:pPr>
              <w:autoSpaceDE w:val="0"/>
              <w:autoSpaceDN w:val="0"/>
              <w:adjustRightInd w:val="0"/>
              <w:jc w:val="both"/>
            </w:pPr>
          </w:p>
        </w:tc>
        <w:tc>
          <w:tcPr>
            <w:tcW w:w="1614" w:type="pct"/>
          </w:tcPr>
          <w:p w:rsidR="001D2F4F" w:rsidRPr="00930335" w:rsidRDefault="001D2F4F" w:rsidP="00B42F00">
            <w:pPr>
              <w:pStyle w:val="NoSpacing"/>
            </w:pPr>
            <w:r w:rsidRPr="00930335">
              <w:t>- Наличие действующего сертификата соответствия системы экологического менеджмента применительно к основным видам работ по договору, требование национальных стандартов ГОСТ Р ИСО 14001-2016 (ISO 14001:2015)</w:t>
            </w:r>
          </w:p>
        </w:tc>
        <w:tc>
          <w:tcPr>
            <w:tcW w:w="500" w:type="pct"/>
            <w:vAlign w:val="center"/>
          </w:tcPr>
          <w:p w:rsidR="001D2F4F" w:rsidRPr="00930335" w:rsidRDefault="001D2F4F" w:rsidP="00B42F00">
            <w:pPr>
              <w:jc w:val="both"/>
            </w:pPr>
            <w:r w:rsidRPr="00930335">
              <w:rPr>
                <w:highlight w:val="yellow"/>
              </w:rPr>
              <w:t>______</w:t>
            </w:r>
          </w:p>
        </w:tc>
        <w:tc>
          <w:tcPr>
            <w:tcW w:w="1536" w:type="pct"/>
          </w:tcPr>
          <w:p w:rsidR="001D2F4F" w:rsidRPr="00AE1D39" w:rsidRDefault="001D2F4F" w:rsidP="00B42F00">
            <w:pPr>
              <w:pStyle w:val="ConsPlusNormal"/>
              <w:spacing w:line="216" w:lineRule="auto"/>
              <w:rPr>
                <w:rFonts w:ascii="Times New Roman" w:hAnsi="Times New Roman"/>
                <w:sz w:val="24"/>
                <w:szCs w:val="24"/>
              </w:rPr>
            </w:pPr>
            <w:r w:rsidRPr="00AE1D39">
              <w:rPr>
                <w:rFonts w:ascii="Times New Roman" w:hAnsi="Times New Roman"/>
                <w:sz w:val="24"/>
                <w:szCs w:val="24"/>
              </w:rPr>
              <w:t>Копия  действующего сертификата, подтверждающего соответствие системы экологического менеджмента, требованиям ГОСТ Р ИСО 14001-2016;</w:t>
            </w:r>
          </w:p>
          <w:p w:rsidR="001D2F4F" w:rsidRPr="00AE1D39" w:rsidRDefault="001D2F4F" w:rsidP="00B42F00">
            <w:pPr>
              <w:rPr>
                <w:i/>
              </w:rPr>
            </w:pPr>
          </w:p>
          <w:p w:rsidR="001D2F4F" w:rsidRPr="00AE1D39" w:rsidRDefault="001D2F4F" w:rsidP="00B42F00">
            <w:pPr>
              <w:rPr>
                <w:i/>
              </w:rPr>
            </w:pPr>
            <w:r w:rsidRPr="00AE1D39">
              <w:rPr>
                <w:i/>
              </w:rPr>
              <w:t xml:space="preserve">Документы содержатся с </w:t>
            </w:r>
            <w:r w:rsidRPr="00AE1D39">
              <w:rPr>
                <w:i/>
                <w:highlight w:val="yellow"/>
              </w:rPr>
              <w:t>_______</w:t>
            </w:r>
            <w:r w:rsidRPr="00AE1D39">
              <w:rPr>
                <w:i/>
              </w:rPr>
              <w:t xml:space="preserve"> по </w:t>
            </w:r>
            <w:r w:rsidRPr="00AE1D39">
              <w:rPr>
                <w:i/>
                <w:highlight w:val="yellow"/>
              </w:rPr>
              <w:t>_________</w:t>
            </w:r>
            <w:r w:rsidRPr="00AE1D39">
              <w:rPr>
                <w:i/>
              </w:rPr>
              <w:t xml:space="preserve"> лист согласно Описи документов</w:t>
            </w:r>
          </w:p>
        </w:tc>
      </w:tr>
      <w:tr w:rsidR="001D2F4F" w:rsidRPr="00930335" w:rsidTr="00B42F00">
        <w:trPr>
          <w:trHeight w:val="132"/>
        </w:trPr>
        <w:tc>
          <w:tcPr>
            <w:tcW w:w="0" w:type="auto"/>
            <w:vMerge/>
            <w:vAlign w:val="center"/>
          </w:tcPr>
          <w:p w:rsidR="001D2F4F" w:rsidRPr="00930335" w:rsidRDefault="001D2F4F" w:rsidP="00B42F00"/>
        </w:tc>
        <w:tc>
          <w:tcPr>
            <w:tcW w:w="0" w:type="auto"/>
            <w:vMerge/>
            <w:vAlign w:val="center"/>
          </w:tcPr>
          <w:p w:rsidR="001D2F4F" w:rsidRPr="00930335" w:rsidRDefault="001D2F4F" w:rsidP="00B42F00">
            <w:pPr>
              <w:autoSpaceDE w:val="0"/>
              <w:autoSpaceDN w:val="0"/>
              <w:adjustRightInd w:val="0"/>
              <w:jc w:val="both"/>
            </w:pPr>
          </w:p>
        </w:tc>
        <w:tc>
          <w:tcPr>
            <w:tcW w:w="1614" w:type="pct"/>
          </w:tcPr>
          <w:p w:rsidR="001D2F4F" w:rsidRPr="00930335" w:rsidRDefault="001D2F4F" w:rsidP="00B42F00">
            <w:pPr>
              <w:pStyle w:val="NoSpacing"/>
            </w:pPr>
            <w:r w:rsidRPr="00930335">
              <w:t xml:space="preserve">- Наличие действующего </w:t>
            </w:r>
          </w:p>
          <w:p w:rsidR="001D2F4F" w:rsidRPr="00930335" w:rsidRDefault="001D2F4F" w:rsidP="00B42F00">
            <w:pPr>
              <w:pStyle w:val="NoSpacing"/>
            </w:pPr>
            <w:r w:rsidRPr="00930335">
              <w:t xml:space="preserve">сертификата соответствия системы менеджмента безопасности труда и охраны здоровья применительно к основным видам работ по договору, требование национальных стандартов ГОСТ Р 54934-2012 (OHSAS </w:t>
            </w:r>
          </w:p>
          <w:p w:rsidR="001D2F4F" w:rsidRPr="00930335" w:rsidRDefault="001D2F4F" w:rsidP="00B42F00">
            <w:pPr>
              <w:pStyle w:val="NoSpacing"/>
            </w:pPr>
            <w:r w:rsidRPr="00930335">
              <w:t>18001:2007)</w:t>
            </w:r>
          </w:p>
        </w:tc>
        <w:tc>
          <w:tcPr>
            <w:tcW w:w="500" w:type="pct"/>
            <w:vAlign w:val="center"/>
          </w:tcPr>
          <w:p w:rsidR="001D2F4F" w:rsidRPr="00930335" w:rsidRDefault="001D2F4F" w:rsidP="00B42F00">
            <w:pPr>
              <w:jc w:val="both"/>
            </w:pPr>
            <w:r w:rsidRPr="00930335">
              <w:rPr>
                <w:highlight w:val="yellow"/>
              </w:rPr>
              <w:t>______</w:t>
            </w:r>
          </w:p>
        </w:tc>
        <w:tc>
          <w:tcPr>
            <w:tcW w:w="1536" w:type="pct"/>
          </w:tcPr>
          <w:p w:rsidR="001D2F4F" w:rsidRPr="00AE1D39" w:rsidRDefault="001D2F4F" w:rsidP="00B42F00">
            <w:pPr>
              <w:pStyle w:val="ConsPlusNormal"/>
              <w:spacing w:line="216" w:lineRule="auto"/>
              <w:rPr>
                <w:rFonts w:ascii="Times New Roman" w:hAnsi="Times New Roman"/>
                <w:sz w:val="24"/>
                <w:szCs w:val="24"/>
              </w:rPr>
            </w:pPr>
            <w:r w:rsidRPr="00AE1D39">
              <w:rPr>
                <w:rFonts w:ascii="Times New Roman" w:hAnsi="Times New Roman"/>
                <w:sz w:val="24"/>
                <w:szCs w:val="24"/>
              </w:rPr>
              <w:t>Копия  действующего сертификата, подтверждающего соответствие системы менеджмента безопасности труда и охраны здоровья, требованиям ГОСТ Р 54934-2012 (OHSAS 18001:2007)</w:t>
            </w:r>
          </w:p>
          <w:p w:rsidR="001D2F4F" w:rsidRPr="00AE1D39" w:rsidRDefault="001D2F4F" w:rsidP="00B42F00">
            <w:pPr>
              <w:rPr>
                <w:i/>
              </w:rPr>
            </w:pPr>
          </w:p>
          <w:p w:rsidR="001D2F4F" w:rsidRPr="00AE1D39" w:rsidRDefault="001D2F4F" w:rsidP="00B42F00">
            <w:pPr>
              <w:rPr>
                <w:i/>
              </w:rPr>
            </w:pPr>
            <w:r w:rsidRPr="00AE1D39">
              <w:rPr>
                <w:i/>
              </w:rPr>
              <w:t xml:space="preserve">Документы содержатся с </w:t>
            </w:r>
            <w:r w:rsidRPr="00AE1D39">
              <w:rPr>
                <w:i/>
                <w:highlight w:val="yellow"/>
              </w:rPr>
              <w:t>_______</w:t>
            </w:r>
            <w:r w:rsidRPr="00AE1D39">
              <w:rPr>
                <w:i/>
              </w:rPr>
              <w:t xml:space="preserve"> по </w:t>
            </w:r>
            <w:r w:rsidRPr="00AE1D39">
              <w:rPr>
                <w:i/>
                <w:highlight w:val="yellow"/>
              </w:rPr>
              <w:t>_________</w:t>
            </w:r>
            <w:r w:rsidRPr="00AE1D39">
              <w:rPr>
                <w:i/>
              </w:rPr>
              <w:t xml:space="preserve"> лист согласно Описи документов</w:t>
            </w:r>
          </w:p>
        </w:tc>
      </w:tr>
    </w:tbl>
    <w:p w:rsidR="001D2F4F" w:rsidRDefault="001D2F4F" w:rsidP="00946BBE"/>
    <w:p w:rsidR="001D2F4F" w:rsidRDefault="001D2F4F" w:rsidP="00946BBE">
      <w:r>
        <w:t>Прошу Вас вернуть перечисленное обеспечение заявки на счет:</w:t>
      </w:r>
      <w:r>
        <w:rPr>
          <w:highlight w:val="yellow"/>
        </w:rPr>
        <w:t>_________________________________________________________________</w:t>
      </w:r>
    </w:p>
    <w:p w:rsidR="001D2F4F" w:rsidRDefault="001D2F4F"/>
    <w:sectPr w:rsidR="001D2F4F" w:rsidSect="00245A97">
      <w:pgSz w:w="16840" w:h="11907" w:orient="landscape"/>
      <w:pgMar w:top="1134"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0F97"/>
    <w:multiLevelType w:val="hybridMultilevel"/>
    <w:tmpl w:val="B1185DA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23"/>
    <w:rsid w:val="000212BA"/>
    <w:rsid w:val="00021689"/>
    <w:rsid w:val="00033407"/>
    <w:rsid w:val="00047454"/>
    <w:rsid w:val="000909C2"/>
    <w:rsid w:val="00091B89"/>
    <w:rsid w:val="00103B19"/>
    <w:rsid w:val="00152570"/>
    <w:rsid w:val="001607EB"/>
    <w:rsid w:val="001B5180"/>
    <w:rsid w:val="001B6558"/>
    <w:rsid w:val="001D2F4F"/>
    <w:rsid w:val="001F7A61"/>
    <w:rsid w:val="001F7A99"/>
    <w:rsid w:val="00245A97"/>
    <w:rsid w:val="00247E06"/>
    <w:rsid w:val="002B4E3A"/>
    <w:rsid w:val="002E5334"/>
    <w:rsid w:val="002E6FBD"/>
    <w:rsid w:val="002F773D"/>
    <w:rsid w:val="00325992"/>
    <w:rsid w:val="0034621C"/>
    <w:rsid w:val="0035575E"/>
    <w:rsid w:val="003A3EE6"/>
    <w:rsid w:val="003C0633"/>
    <w:rsid w:val="003C1174"/>
    <w:rsid w:val="003C43D5"/>
    <w:rsid w:val="00421DF8"/>
    <w:rsid w:val="00445B31"/>
    <w:rsid w:val="004633F4"/>
    <w:rsid w:val="004B6873"/>
    <w:rsid w:val="004C2FA8"/>
    <w:rsid w:val="004F7519"/>
    <w:rsid w:val="0052253F"/>
    <w:rsid w:val="00546574"/>
    <w:rsid w:val="00564CB0"/>
    <w:rsid w:val="00564E51"/>
    <w:rsid w:val="00567DD3"/>
    <w:rsid w:val="0064455B"/>
    <w:rsid w:val="00653348"/>
    <w:rsid w:val="00665C56"/>
    <w:rsid w:val="006B3854"/>
    <w:rsid w:val="006C13DE"/>
    <w:rsid w:val="006F4F0D"/>
    <w:rsid w:val="00717A1B"/>
    <w:rsid w:val="00720B3A"/>
    <w:rsid w:val="00724B2B"/>
    <w:rsid w:val="007446CC"/>
    <w:rsid w:val="007B332A"/>
    <w:rsid w:val="007C2BAD"/>
    <w:rsid w:val="007C4748"/>
    <w:rsid w:val="007D6D16"/>
    <w:rsid w:val="007F7DF6"/>
    <w:rsid w:val="00804E8B"/>
    <w:rsid w:val="008358AF"/>
    <w:rsid w:val="00840876"/>
    <w:rsid w:val="008D795E"/>
    <w:rsid w:val="008E0D37"/>
    <w:rsid w:val="008E27C7"/>
    <w:rsid w:val="00930335"/>
    <w:rsid w:val="00944D15"/>
    <w:rsid w:val="009466A2"/>
    <w:rsid w:val="00946BBE"/>
    <w:rsid w:val="00965EED"/>
    <w:rsid w:val="00977B3F"/>
    <w:rsid w:val="009A49E5"/>
    <w:rsid w:val="009C2C98"/>
    <w:rsid w:val="00A35820"/>
    <w:rsid w:val="00A63C38"/>
    <w:rsid w:val="00A81023"/>
    <w:rsid w:val="00AA7518"/>
    <w:rsid w:val="00AC6A95"/>
    <w:rsid w:val="00AE1D39"/>
    <w:rsid w:val="00B42F00"/>
    <w:rsid w:val="00B7303C"/>
    <w:rsid w:val="00B77323"/>
    <w:rsid w:val="00B85898"/>
    <w:rsid w:val="00B86DF8"/>
    <w:rsid w:val="00BF12E0"/>
    <w:rsid w:val="00C11A5C"/>
    <w:rsid w:val="00C25A9B"/>
    <w:rsid w:val="00C436CA"/>
    <w:rsid w:val="00C8000C"/>
    <w:rsid w:val="00C8377E"/>
    <w:rsid w:val="00D2023C"/>
    <w:rsid w:val="00D45A20"/>
    <w:rsid w:val="00D93BEF"/>
    <w:rsid w:val="00D94D8F"/>
    <w:rsid w:val="00DE4146"/>
    <w:rsid w:val="00DE6E65"/>
    <w:rsid w:val="00E06DEE"/>
    <w:rsid w:val="00E16436"/>
    <w:rsid w:val="00E25637"/>
    <w:rsid w:val="00E43CA5"/>
    <w:rsid w:val="00E562C0"/>
    <w:rsid w:val="00E63CBA"/>
    <w:rsid w:val="00E86E99"/>
    <w:rsid w:val="00E8791D"/>
    <w:rsid w:val="00E90F01"/>
    <w:rsid w:val="00EB2E76"/>
    <w:rsid w:val="00F13CB9"/>
    <w:rsid w:val="00F17194"/>
    <w:rsid w:val="00F7210B"/>
    <w:rsid w:val="00F844CC"/>
    <w:rsid w:val="00F875AB"/>
    <w:rsid w:val="00FB0013"/>
    <w:rsid w:val="00FC1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98"/>
    <w:rPr>
      <w:sz w:val="24"/>
      <w:szCs w:val="24"/>
    </w:rPr>
  </w:style>
  <w:style w:type="paragraph" w:styleId="Heading1">
    <w:name w:val="heading 1"/>
    <w:basedOn w:val="Normal"/>
    <w:link w:val="Heading1Char"/>
    <w:uiPriority w:val="99"/>
    <w:qFormat/>
    <w:rsid w:val="00B85898"/>
    <w:pPr>
      <w:spacing w:before="100" w:beforeAutospacing="1" w:after="100" w:afterAutospacing="1"/>
      <w:jc w:val="center"/>
      <w:outlineLvl w:val="0"/>
    </w:pPr>
    <w:rPr>
      <w:b/>
      <w:bCs/>
      <w:caps/>
      <w:kern w:val="36"/>
      <w:sz w:val="32"/>
      <w:szCs w:val="32"/>
    </w:rPr>
  </w:style>
  <w:style w:type="paragraph" w:styleId="Heading2">
    <w:name w:val="heading 2"/>
    <w:basedOn w:val="Normal"/>
    <w:link w:val="Heading2Char"/>
    <w:uiPriority w:val="99"/>
    <w:qFormat/>
    <w:rsid w:val="00B85898"/>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89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B85898"/>
    <w:rPr>
      <w:rFonts w:ascii="Calibri Light" w:hAnsi="Calibri Light" w:cs="Times New Roman"/>
      <w:color w:val="2E74B5"/>
      <w:sz w:val="26"/>
      <w:szCs w:val="26"/>
    </w:rPr>
  </w:style>
  <w:style w:type="paragraph" w:customStyle="1" w:styleId="annotation">
    <w:name w:val="annotation"/>
    <w:basedOn w:val="Normal"/>
    <w:uiPriority w:val="99"/>
    <w:rsid w:val="00B85898"/>
    <w:pPr>
      <w:spacing w:before="100" w:beforeAutospacing="1" w:after="100" w:afterAutospacing="1"/>
      <w:jc w:val="center"/>
    </w:pPr>
  </w:style>
  <w:style w:type="paragraph" w:customStyle="1" w:styleId="header-to">
    <w:name w:val="header-to"/>
    <w:basedOn w:val="Normal"/>
    <w:uiPriority w:val="99"/>
    <w:rsid w:val="00B85898"/>
    <w:pPr>
      <w:spacing w:before="100" w:beforeAutospacing="1" w:after="100" w:afterAutospacing="1"/>
      <w:jc w:val="right"/>
    </w:pPr>
  </w:style>
  <w:style w:type="paragraph" w:styleId="NormalWeb">
    <w:name w:val="Normal (Web)"/>
    <w:basedOn w:val="Normal"/>
    <w:uiPriority w:val="99"/>
    <w:rsid w:val="00B85898"/>
    <w:pPr>
      <w:spacing w:before="100" w:beforeAutospacing="1" w:after="100" w:afterAutospacing="1"/>
    </w:pPr>
  </w:style>
  <w:style w:type="character" w:styleId="Strong">
    <w:name w:val="Strong"/>
    <w:basedOn w:val="DefaultParagraphFont"/>
    <w:uiPriority w:val="99"/>
    <w:qFormat/>
    <w:rsid w:val="00B85898"/>
    <w:rPr>
      <w:rFonts w:cs="Times New Roman"/>
      <w:b/>
      <w:bCs/>
    </w:rPr>
  </w:style>
  <w:style w:type="character" w:styleId="Emphasis">
    <w:name w:val="Emphasis"/>
    <w:basedOn w:val="DefaultParagraphFont"/>
    <w:uiPriority w:val="99"/>
    <w:qFormat/>
    <w:rsid w:val="00B85898"/>
    <w:rPr>
      <w:rFonts w:cs="Times New Roman"/>
      <w:i/>
      <w:iCs/>
    </w:rPr>
  </w:style>
  <w:style w:type="character" w:styleId="Hyperlink">
    <w:name w:val="Hyperlink"/>
    <w:basedOn w:val="DefaultParagraphFont"/>
    <w:uiPriority w:val="99"/>
    <w:rsid w:val="006F4F0D"/>
    <w:rPr>
      <w:rFonts w:cs="Times New Roman"/>
      <w:color w:val="0563C1"/>
      <w:u w:val="single"/>
    </w:rPr>
  </w:style>
  <w:style w:type="paragraph" w:styleId="BodyText2">
    <w:name w:val="Body Text 2"/>
    <w:basedOn w:val="Normal"/>
    <w:link w:val="BodyText2Char"/>
    <w:uiPriority w:val="99"/>
    <w:rsid w:val="006F4F0D"/>
    <w:pPr>
      <w:spacing w:after="120" w:line="480" w:lineRule="auto"/>
    </w:pPr>
  </w:style>
  <w:style w:type="character" w:customStyle="1" w:styleId="BodyText2Char">
    <w:name w:val="Body Text 2 Char"/>
    <w:basedOn w:val="DefaultParagraphFont"/>
    <w:link w:val="BodyText2"/>
    <w:uiPriority w:val="99"/>
    <w:locked/>
    <w:rsid w:val="006F4F0D"/>
    <w:rPr>
      <w:rFonts w:cs="Times New Roman"/>
      <w:sz w:val="24"/>
      <w:szCs w:val="24"/>
    </w:rPr>
  </w:style>
  <w:style w:type="paragraph" w:styleId="ListParagraph">
    <w:name w:val="List Paragraph"/>
    <w:basedOn w:val="Normal"/>
    <w:uiPriority w:val="99"/>
    <w:qFormat/>
    <w:rsid w:val="006F4F0D"/>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6F4F0D"/>
    <w:pPr>
      <w:spacing w:after="120"/>
      <w:ind w:left="283"/>
    </w:pPr>
  </w:style>
  <w:style w:type="character" w:customStyle="1" w:styleId="BodyTextIndentChar">
    <w:name w:val="Body Text Indent Char"/>
    <w:basedOn w:val="DefaultParagraphFont"/>
    <w:link w:val="BodyTextIndent"/>
    <w:uiPriority w:val="99"/>
    <w:locked/>
    <w:rsid w:val="006F4F0D"/>
    <w:rPr>
      <w:rFonts w:cs="Times New Roman"/>
      <w:sz w:val="24"/>
      <w:szCs w:val="24"/>
    </w:rPr>
  </w:style>
  <w:style w:type="paragraph" w:styleId="BodyText3">
    <w:name w:val="Body Text 3"/>
    <w:basedOn w:val="Normal"/>
    <w:link w:val="BodyText3Char"/>
    <w:uiPriority w:val="99"/>
    <w:semiHidden/>
    <w:rsid w:val="006F4F0D"/>
    <w:pPr>
      <w:spacing w:after="120"/>
    </w:pPr>
    <w:rPr>
      <w:sz w:val="16"/>
      <w:szCs w:val="16"/>
    </w:rPr>
  </w:style>
  <w:style w:type="character" w:customStyle="1" w:styleId="BodyText3Char">
    <w:name w:val="Body Text 3 Char"/>
    <w:basedOn w:val="DefaultParagraphFont"/>
    <w:link w:val="BodyText3"/>
    <w:uiPriority w:val="99"/>
    <w:semiHidden/>
    <w:locked/>
    <w:rsid w:val="006F4F0D"/>
    <w:rPr>
      <w:rFonts w:cs="Times New Roman"/>
      <w:sz w:val="16"/>
      <w:szCs w:val="16"/>
    </w:rPr>
  </w:style>
  <w:style w:type="paragraph" w:customStyle="1" w:styleId="ConsPlusNormal">
    <w:name w:val="ConsPlusNormal"/>
    <w:link w:val="ConsPlusNormal0"/>
    <w:uiPriority w:val="99"/>
    <w:rsid w:val="00091B89"/>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091B89"/>
    <w:rPr>
      <w:rFonts w:ascii="Arial" w:hAnsi="Arial"/>
      <w:sz w:val="22"/>
      <w:lang w:eastAsia="en-US"/>
    </w:rPr>
  </w:style>
  <w:style w:type="paragraph" w:styleId="NoSpacing">
    <w:name w:val="No Spacing"/>
    <w:uiPriority w:val="99"/>
    <w:qFormat/>
    <w:rsid w:val="00021689"/>
    <w:rPr>
      <w:sz w:val="24"/>
      <w:szCs w:val="24"/>
    </w:rPr>
  </w:style>
  <w:style w:type="paragraph" w:styleId="BodyText">
    <w:name w:val="Body Text"/>
    <w:basedOn w:val="Normal"/>
    <w:link w:val="BodyTextChar"/>
    <w:uiPriority w:val="99"/>
    <w:rsid w:val="001B6558"/>
    <w:pPr>
      <w:spacing w:after="120"/>
    </w:pPr>
  </w:style>
  <w:style w:type="character" w:customStyle="1" w:styleId="BodyTextChar">
    <w:name w:val="Body Text Char"/>
    <w:basedOn w:val="DefaultParagraphFont"/>
    <w:link w:val="BodyText"/>
    <w:uiPriority w:val="99"/>
    <w:semiHidden/>
    <w:locked/>
    <w:rsid w:val="00033407"/>
    <w:rPr>
      <w:rFonts w:cs="Times New Roman"/>
      <w:sz w:val="24"/>
      <w:szCs w:val="24"/>
    </w:rPr>
  </w:style>
  <w:style w:type="character" w:customStyle="1" w:styleId="ListParagraphChar">
    <w:name w:val="List Paragraph Char"/>
    <w:uiPriority w:val="99"/>
    <w:rsid w:val="00653348"/>
    <w:rPr>
      <w:rFonts w:ascii="Calibri" w:hAnsi="Calibri"/>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75A7EB353FBDB9064712A7F07C55837BFADBFB74D10279943FB7EBA9995DB17EBEA825107Dz9I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75A7EB353FBDB9064712A7F07C55837BFADBFB74D10279943FB7EBA9995DB17EBEA825107Fz9IFM" TargetMode="External"/><Relationship Id="rId5" Type="http://schemas.openxmlformats.org/officeDocument/2006/relationships/hyperlink" Target="consultantplus://offline/ref=9D75A7EB353FBDB9064712A7F07C55837BFADAF57FDC0279943FB7EBA9995DB17EBEA82110z7I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21</Pages>
  <Words>5936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dc:title>
  <dc:subject/>
  <dc:creator>Gorenko.N.G</dc:creator>
  <cp:keywords/>
  <dc:description/>
  <cp:lastModifiedBy>Дима</cp:lastModifiedBy>
  <cp:revision>33</cp:revision>
  <cp:lastPrinted>2018-10-24T06:00:00Z</cp:lastPrinted>
  <dcterms:created xsi:type="dcterms:W3CDTF">2018-08-30T16:00:00Z</dcterms:created>
  <dcterms:modified xsi:type="dcterms:W3CDTF">2018-10-26T06:26:00Z</dcterms:modified>
</cp:coreProperties>
</file>