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P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  <w:r w:rsidRPr="00C24DF7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>О реализации муниципальной программы в сфере развития субъектов малого и среднего предпринимательства 201</w:t>
      </w:r>
      <w:r w:rsidR="0023348B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>8</w:t>
      </w:r>
      <w:r w:rsidRPr="00C24DF7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 xml:space="preserve"> год</w:t>
      </w:r>
    </w:p>
    <w:p w:rsidR="00C24DF7" w:rsidRDefault="00C24DF7" w:rsidP="00C24DF7">
      <w:pP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C24DF7" w:rsidRPr="00C24DF7" w:rsidTr="00C24D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Pr="00C24DF7" w:rsidRDefault="00C24DF7" w:rsidP="002334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Основные мероприятия подпрограммы в 201</w:t>
            </w:r>
            <w:r w:rsidR="0023348B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8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году реализовывались по направлениям: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1. Освещение вопросов развития малого и среднего предпринимательства  в средствах массовой информации и (или) информационно-телекоммуникационной   сети «Интернет».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1.1</w:t>
            </w:r>
            <w:proofErr w:type="gramStart"/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 Н</w:t>
            </w:r>
            <w:proofErr w:type="gramEnd"/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а официальном сайте администрации Новоивановского сельского поселения в разделе «Экономика» подраздел «Малый и средний бизнес. Законодательные акты» </w:t>
            </w:r>
            <w:r w:rsidR="00801BFA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материалы 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в 201</w:t>
            </w:r>
            <w:r w:rsidR="0023348B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8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году </w:t>
            </w:r>
            <w:r w:rsidR="0023348B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не размещались.</w:t>
            </w:r>
          </w:p>
        </w:tc>
      </w:tr>
      <w:tr w:rsidR="00C24DF7" w:rsidRPr="00C24DF7" w:rsidTr="00C24D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Pr="00C24DF7" w:rsidRDefault="00C24DF7" w:rsidP="00C24D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24DF7" w:rsidRPr="00C24DF7" w:rsidTr="00C24D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Pr="00C24DF7" w:rsidRDefault="00C24DF7" w:rsidP="00C24D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9B1EA1" w:rsidRDefault="00C24DF7" w:rsidP="00C24DF7">
      <w:pP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2. Нормативное правовое, информационное и организационное обеспечение развития торговли в сети «Интернет».</w:t>
      </w:r>
    </w:p>
    <w:p w:rsidR="009B1EA1" w:rsidRDefault="009B1EA1" w:rsidP="00C24DF7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На официальном сайте администрации Новоивановского сельского поселения в разделе «Экономика» подраздел «Торговля» в 2018 году размещены:</w:t>
      </w:r>
    </w:p>
    <w:p w:rsidR="009B1EA1" w:rsidRDefault="009B1EA1" w:rsidP="009B1EA1">
      <w:pPr>
        <w:pStyle w:val="a4"/>
        <w:shd w:val="clear" w:color="auto" w:fill="FFFFFF"/>
        <w:spacing w:before="0" w:beforeAutospacing="0" w:after="0" w:afterAutospacing="0"/>
        <w:ind w:firstLine="10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-Постановление от 17.09.2018 г. № 98 «Об утверждении административного регламента по осуществлению муниципального контроля: «Осуществление муниципального контроля в области торговой деятельности».</w:t>
      </w:r>
    </w:p>
    <w:p w:rsidR="009B1EA1" w:rsidRDefault="009B1EA1" w:rsidP="009B1EA1">
      <w:pPr>
        <w:pStyle w:val="a4"/>
        <w:shd w:val="clear" w:color="auto" w:fill="FFFFFF"/>
        <w:spacing w:before="0" w:beforeAutospacing="0" w:after="60" w:afterAutospacing="0"/>
        <w:ind w:firstLine="10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9B1EA1" w:rsidRDefault="009B1EA1" w:rsidP="009B1EA1">
      <w:pPr>
        <w:pStyle w:val="a4"/>
        <w:shd w:val="clear" w:color="auto" w:fill="FFFFFF"/>
        <w:spacing w:before="0" w:beforeAutospacing="0" w:after="0" w:afterAutospacing="0"/>
        <w:ind w:firstLine="10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-Извещение для ИП.</w:t>
      </w:r>
    </w:p>
    <w:p w:rsidR="00D0429C" w:rsidRDefault="00C24DF7" w:rsidP="00C24DF7">
      <w:pP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Специалист администрации Новоивановского сельского поселения  Терехова Л.В. осуществляет еженедельный  мониторинг состояния уровня цен на социально значимые продукты питания в объектах розничной торговли, расположенных на территории Новоивановского сельского поселения. А так же, совместно с другими  контролирующими службами,  регулярно  проводит рейды по пресечению несанкционированной  торговли в неустановленных местах. Индивидуальным предпринимателям вручаются листовки, с изменениями в законодательстве и другой важной информацией, знание которой   необходимо для осуществления их  предпринимательской деятельности.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3"/>
      </w:tblGrid>
      <w:tr w:rsidR="00D0429C" w:rsidRPr="00D0429C" w:rsidTr="00D0429C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D0429C" w:rsidP="00D04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Информирование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 глав ИП и КФХ с ЛПХ. В 2018 году была размещена следующая информация:</w:t>
            </w:r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4" w:history="1">
              <w:r w:rsidR="00D0429C" w:rsidRPr="00D0429C">
                <w:rPr>
                  <w:rFonts w:ascii="Arial" w:eastAsia="Times New Roman" w:hAnsi="Arial" w:cs="Arial"/>
                  <w:sz w:val="14"/>
                  <w:lang w:eastAsia="ru-RU"/>
                </w:rPr>
                <w:t>«Пчеловодство в условиях МФХ»</w:t>
              </w:r>
            </w:hyperlink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history="1"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Извещение для ИП</w:t>
              </w:r>
            </w:hyperlink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6" w:history="1"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Уважаемые жители Новоивановского сельского поселения!</w:t>
              </w:r>
            </w:hyperlink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7" w:history="1"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График проведения лекций ГБУКК «Учебно-методический центр развития ЛПХ» на 2018 год</w:t>
              </w:r>
            </w:hyperlink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8" w:history="1"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Информация</w:t>
              </w:r>
            </w:hyperlink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9" w:history="1"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Международная выставка «</w:t>
              </w:r>
              <w:proofErr w:type="spellStart"/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АгроКомплекс</w:t>
              </w:r>
              <w:proofErr w:type="spellEnd"/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» в Уфе</w:t>
              </w:r>
            </w:hyperlink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10" w:history="1"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Мероприятия по развитию с/</w:t>
              </w:r>
              <w:proofErr w:type="spellStart"/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х</w:t>
              </w:r>
              <w:proofErr w:type="spellEnd"/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 xml:space="preserve"> кооперации</w:t>
              </w:r>
            </w:hyperlink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11" w:history="1"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16.01.2018 Информация</w:t>
              </w:r>
            </w:hyperlink>
          </w:p>
        </w:tc>
      </w:tr>
      <w:tr w:rsidR="00D0429C" w:rsidRPr="00D0429C" w:rsidTr="00D0429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429C" w:rsidRPr="00D0429C" w:rsidRDefault="005B35EB" w:rsidP="00D04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12" w:history="1">
              <w:r w:rsidR="00D0429C" w:rsidRPr="00D0429C">
                <w:rPr>
                  <w:rFonts w:ascii="Arial" w:eastAsia="Times New Roman" w:hAnsi="Arial" w:cs="Arial"/>
                  <w:sz w:val="14"/>
                  <w:u w:val="single"/>
                  <w:lang w:eastAsia="ru-RU"/>
                </w:rPr>
                <w:t>12.01.2018 Информация</w:t>
              </w:r>
            </w:hyperlink>
          </w:p>
        </w:tc>
      </w:tr>
    </w:tbl>
    <w:p w:rsidR="004B115F" w:rsidRDefault="00C24DF7" w:rsidP="00C24DF7"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201</w:t>
      </w:r>
      <w:r w:rsidR="00D0429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8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администрация Новоивановского сельского поселения  в рамках своих полномочий: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занималась заключением договоров купли-продажи незастроенных земельных участков из земель </w:t>
      </w:r>
      <w:proofErr w:type="spellStart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сельхозназначения</w:t>
      </w:r>
      <w:proofErr w:type="spell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В 201</w:t>
      </w:r>
      <w:r w:rsidR="00D0429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8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обращений не поступало;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доводила информацию об обучающих семинарах, выставках, о коммерческих предложениях по продаже сельхозтехники, удобрений и семян, о резких изменениях погодных условий как по телефону, на общих собраниях, так и на специальных стендах в здании администрации  и на улице около здания администрации. В 201</w:t>
      </w:r>
      <w:r w:rsidR="00D0429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8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проведено </w:t>
      </w:r>
      <w:r w:rsidR="00D0429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6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фермерских собраний, доведено до сведения  и вывешено для ознакомления на информационных стендах </w:t>
      </w:r>
      <w:r w:rsidR="00D0429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62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информационны</w:t>
      </w:r>
      <w:r w:rsidR="00D0429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е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  листовки;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оказывала содействие всем представителям малого и среднего предпринимательства для оформления субсидий из федерального и краевого бюджетов. В 201</w:t>
      </w:r>
      <w:r w:rsidR="00D0429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8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оказано содействие 51 фермеру;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каждый понедельник организовывала проведение ярмарки, на которой представлены  продовольственные и промышленные товары, не ограничивая доступ представителей малого и среднего предпринимательства. В 201</w:t>
      </w:r>
      <w:r w:rsidR="00D0429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8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ярмарки проведено 50 ярмарок;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координировала действия производителей всех видов продукции и услуг при возникновении  пожароопасной ситуации.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Основные мероприятия осуществлялись без привлечения денежных средств из бюджета Новоивановского сельского поселения.</w:t>
      </w:r>
    </w:p>
    <w:sectPr w:rsidR="004B115F" w:rsidSect="004B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24DF7"/>
    <w:rsid w:val="0023348B"/>
    <w:rsid w:val="004B115F"/>
    <w:rsid w:val="005B35EB"/>
    <w:rsid w:val="00801BFA"/>
    <w:rsid w:val="009B1EA1"/>
    <w:rsid w:val="00C24DF7"/>
    <w:rsid w:val="00D0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5F"/>
  </w:style>
  <w:style w:type="paragraph" w:styleId="2">
    <w:name w:val="heading 2"/>
    <w:basedOn w:val="a"/>
    <w:link w:val="20"/>
    <w:uiPriority w:val="9"/>
    <w:qFormat/>
    <w:rsid w:val="00C24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4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ivanovskoesp.ru/ekonomika/malyj-i-srednij-biznes/informatsiya-dlya-glav-ip-i-kfkh-s-lpkh/2437-informatsiy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voivanovskoesp.ru/ekonomika/malyj-i-srednij-biznes/informatsiya-dlya-glav-ip-i-kfkh-s-lpkh/2438-grafik-provedeniya-lektsij-gbukk-uchebno-metodicheskij-tsentr-razvitiya-lpkh-na-2018-god.html" TargetMode="External"/><Relationship Id="rId12" Type="http://schemas.openxmlformats.org/officeDocument/2006/relationships/hyperlink" Target="https://novoivanovskoesp.ru/ekonomika/malyj-i-srednij-biznes/informatsiya-dlya-glav-ip-i-kfkh-s-lpkh/2418-12-01-2018-informatsiya-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ivanovskoesp.ru/ekonomika/malyj-i-srednij-biznes/informatsiya-dlya-glav-ip-i-kfkh-s-lpkh/2452-6840897.html" TargetMode="External"/><Relationship Id="rId11" Type="http://schemas.openxmlformats.org/officeDocument/2006/relationships/hyperlink" Target="https://novoivanovskoesp.ru/ekonomika/malyj-i-srednij-biznes/informatsiya-dlya-glav-ip-i-kfkh-s-lpkh/2415-16-01-2018-informatsiya.html" TargetMode="External"/><Relationship Id="rId5" Type="http://schemas.openxmlformats.org/officeDocument/2006/relationships/hyperlink" Target="https://novoivanovskoesp.ru/ekonomika/malyj-i-srednij-biznes/informatsiya-dlya-glav-ip-i-kfkh-s-lpkh/2977-izveshchenie-dlya-ip.html" TargetMode="External"/><Relationship Id="rId10" Type="http://schemas.openxmlformats.org/officeDocument/2006/relationships/hyperlink" Target="https://novoivanovskoesp.ru/ekonomika/malyj-i-srednij-biznes/informatsiya-dlya-glav-ip-i-kfkh-s-lpkh/2416-meropriyatiya-po-razvitiyu-s-kh-kooperatsii.html" TargetMode="External"/><Relationship Id="rId4" Type="http://schemas.openxmlformats.org/officeDocument/2006/relationships/hyperlink" Target="https://novoivanovskoesp.ru/ekonomika/malyj-i-srednij-biznes/informatsiya-dlya-glav-ip-i-kfkh-s-lpkh/3380-pchelovodstvo-v-usloviyakh-mfkh.html" TargetMode="External"/><Relationship Id="rId9" Type="http://schemas.openxmlformats.org/officeDocument/2006/relationships/hyperlink" Target="https://novoivanovskoesp.ru/ekonomika/malyj-i-srednij-biznes/informatsiya-dlya-glav-ip-i-kfkh-s-lpkh/2414-mezhdunarodnaya-vystavka-agrokompleks-v-uf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2020-05-21T07:31:00Z</dcterms:created>
  <dcterms:modified xsi:type="dcterms:W3CDTF">2020-05-21T07:53:00Z</dcterms:modified>
</cp:coreProperties>
</file>